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7DD80" w14:textId="3300B2C7" w:rsidR="001F02EA" w:rsidRPr="00F539BC" w:rsidRDefault="00F539BC" w:rsidP="000D00A7">
      <w:pPr>
        <w:spacing w:after="120" w:line="240" w:lineRule="auto"/>
        <w:jc w:val="center"/>
        <w:rPr>
          <w:rFonts w:ascii="Anek Latin SemiCondensed SemiCo" w:hAnsi="Anek Latin SemiCondensed SemiCo" w:cs="Open Sans"/>
          <w:b/>
          <w:bCs/>
          <w:color w:val="892678" w:themeColor="accent1"/>
          <w:sz w:val="52"/>
          <w:szCs w:val="52"/>
          <w:lang w:val="fr-CA"/>
        </w:rPr>
      </w:pPr>
      <w:r w:rsidRPr="00F539BC">
        <w:rPr>
          <w:rFonts w:ascii="Anek Latin SemiCondensed SemiCo" w:hAnsi="Anek Latin SemiCondensed SemiCo" w:cs="Open Sans"/>
          <w:b/>
          <w:bCs/>
          <w:color w:val="892678" w:themeColor="accent1"/>
          <w:sz w:val="52"/>
          <w:szCs w:val="52"/>
          <w:lang w:val="fr-CA"/>
        </w:rPr>
        <w:t>Cadre national pour mettre fin à la violence fondée sur le genre</w:t>
      </w:r>
    </w:p>
    <w:p w14:paraId="663C225F" w14:textId="05BF0502" w:rsidR="008A1220" w:rsidRPr="008A1220" w:rsidRDefault="008A1220" w:rsidP="008A1220">
      <w:pPr>
        <w:widowControl w:val="0"/>
        <w:spacing w:line="240" w:lineRule="auto"/>
        <w:ind w:right="838"/>
        <w:rPr>
          <w:rFonts w:ascii="Open Sans" w:hAnsi="Open Sans" w:cs="Open Sans"/>
          <w:sz w:val="20"/>
          <w:szCs w:val="20"/>
          <w:lang w:val="fr-CA"/>
        </w:rPr>
      </w:pPr>
      <w:r w:rsidRPr="008A1220">
        <w:rPr>
          <w:rFonts w:ascii="Open Sans" w:hAnsi="Open Sans"/>
          <w:sz w:val="20"/>
          <w:lang w:val="fr-CA"/>
        </w:rPr>
        <w:t>&lt;</w:t>
      </w:r>
      <w:proofErr w:type="gramStart"/>
      <w:r w:rsidRPr="008A1220">
        <w:rPr>
          <w:rFonts w:ascii="Open Sans" w:hAnsi="Open Sans"/>
          <w:sz w:val="20"/>
          <w:lang w:val="fr-CA"/>
        </w:rPr>
        <w:t>adaptez</w:t>
      </w:r>
      <w:proofErr w:type="gramEnd"/>
      <w:r w:rsidRPr="008A1220">
        <w:rPr>
          <w:rFonts w:ascii="Open Sans" w:hAnsi="Open Sans"/>
          <w:sz w:val="20"/>
          <w:lang w:val="fr-CA"/>
        </w:rPr>
        <w:t xml:space="preserve"> en fonction de la législation provinciale ou territoriale&gt;</w:t>
      </w:r>
    </w:p>
    <w:p w14:paraId="05C4A47D" w14:textId="040A2F3F" w:rsidR="008A1220" w:rsidRPr="006805AA" w:rsidRDefault="008A1220" w:rsidP="008A1220">
      <w:pPr>
        <w:spacing w:line="240" w:lineRule="auto"/>
        <w:rPr>
          <w:rFonts w:ascii="Open Sans" w:hAnsi="Open Sans" w:cs="Open Sans"/>
          <w:sz w:val="20"/>
          <w:szCs w:val="20"/>
          <w:lang w:val="fr-CA"/>
        </w:rPr>
      </w:pPr>
      <w:r w:rsidRPr="008A1220">
        <w:rPr>
          <w:rFonts w:ascii="Open Sans" w:hAnsi="Open Sans"/>
          <w:sz w:val="20"/>
          <w:lang w:val="fr-CA"/>
        </w:rPr>
        <w:t xml:space="preserve">La violence fondée sur le genre (VFG) atteint actuellement des proportions épidémiques dans tout le pays. En moyenne, une femme ou une jeune fille est tuée </w:t>
      </w:r>
      <w:r w:rsidRPr="006805AA">
        <w:rPr>
          <w:rFonts w:ascii="Open Sans" w:hAnsi="Open Sans"/>
          <w:sz w:val="20"/>
          <w:lang w:val="fr-CA"/>
        </w:rPr>
        <w:t>tous les deux ou trois jours, le plus souvent par son partenaire ou un ex-partenaire. La violence faite aux femmes (VFF) et la VFG sont reconnues au niveau international comme des formes de discrimination et des manifestations de l’inégalité entre les genres, ainsi que comme une violation des droits de la personne. Le Canada dispose actuellement d’un Plan d’action national (PAN) contre la violence fondée sur le sexe, dont le financement est assuré jusqu’à la fin de l’année 2026.</w:t>
      </w:r>
    </w:p>
    <w:p w14:paraId="63E70881" w14:textId="77777777" w:rsidR="008A1220" w:rsidRPr="006805AA" w:rsidRDefault="008A1220" w:rsidP="008A1220">
      <w:pPr>
        <w:spacing w:after="120" w:line="240" w:lineRule="auto"/>
        <w:rPr>
          <w:rFonts w:ascii="Open Sans" w:hAnsi="Open Sans" w:cs="Open Sans"/>
          <w:b/>
          <w:bCs/>
          <w:color w:val="892678" w:themeColor="accent1"/>
          <w:sz w:val="20"/>
          <w:szCs w:val="20"/>
          <w:lang w:val="en-US"/>
        </w:rPr>
      </w:pPr>
      <w:r w:rsidRPr="006805AA">
        <w:rPr>
          <w:rFonts w:ascii="Open Sans" w:hAnsi="Open Sans" w:cs="Open Sans"/>
          <w:b/>
          <w:bCs/>
          <w:color w:val="892678" w:themeColor="accent1"/>
          <w:sz w:val="20"/>
          <w:szCs w:val="20"/>
          <w:lang w:val="en-US"/>
        </w:rPr>
        <w:t>Nous demandons au gouvernement d’intégrer les MH pour les femmes, les enfants et les personnes d’une diversité de genres fuyant la violence dans un cadre national cohérent de lutte contre la VFG.</w:t>
      </w:r>
    </w:p>
    <w:p w14:paraId="255965D0" w14:textId="77777777" w:rsidR="008A7EF1" w:rsidRPr="008A7EF1" w:rsidRDefault="008A7EF1" w:rsidP="008A7EF1">
      <w:pPr>
        <w:spacing w:after="0" w:line="240" w:lineRule="auto"/>
        <w:rPr>
          <w:rFonts w:ascii="Open Sans" w:eastAsia="Cambria" w:hAnsi="Open Sans" w:cs="Open Sans"/>
          <w:sz w:val="20"/>
          <w:szCs w:val="20"/>
          <w:lang w:val="fr-CA"/>
        </w:rPr>
      </w:pPr>
      <w:r w:rsidRPr="008A7EF1">
        <w:rPr>
          <w:rFonts w:ascii="Open Sans" w:eastAsia="Arial" w:hAnsi="Open Sans" w:cs="Arial"/>
          <w:kern w:val="0"/>
          <w:sz w:val="20"/>
          <w:szCs w:val="22"/>
          <w:lang w:val="fr-CA"/>
          <w14:ligatures w14:val="none"/>
        </w:rPr>
        <w:t>Le PAN pour mettre fin à la VFG doit soutenir un cadre national cohérent qui reconnait les MH comme des piliers centraux des systèmes sociaux et judiciaires du Canada et comme des partenaires dans la promotion de l’égalité des genres, de la réconciliation et des droits de la personne. Les actions clés comprennent:</w:t>
      </w:r>
    </w:p>
    <w:p w14:paraId="71A39D5F" w14:textId="77777777" w:rsidR="008A7EF1" w:rsidRPr="008A7EF1" w:rsidRDefault="008A7EF1" w:rsidP="006805AA">
      <w:pPr>
        <w:pStyle w:val="ListParagraph"/>
        <w:numPr>
          <w:ilvl w:val="0"/>
          <w:numId w:val="8"/>
        </w:numPr>
        <w:spacing w:after="120" w:line="240" w:lineRule="auto"/>
        <w:ind w:left="714" w:hanging="357"/>
        <w:rPr>
          <w:rFonts w:ascii="Open Sans" w:eastAsia="Montserrat" w:hAnsi="Open Sans" w:cs="Open Sans"/>
          <w:sz w:val="20"/>
          <w:szCs w:val="20"/>
        </w:rPr>
      </w:pPr>
      <w:r w:rsidRPr="008A7EF1">
        <w:rPr>
          <w:rFonts w:ascii="Open Sans" w:hAnsi="Open Sans" w:cs="Open Sans"/>
          <w:b/>
          <w:bCs/>
          <w:color w:val="892678" w:themeColor="accent1"/>
          <w:sz w:val="20"/>
          <w:szCs w:val="20"/>
          <w:lang w:val="en-US"/>
        </w:rPr>
        <w:t>Mettre pleinement en œuvre le Plan d’action national sur la violence fondée sur le sexe et lui allouer des ressources suffisantes</w:t>
      </w:r>
      <w:r w:rsidRPr="008A7EF1">
        <w:rPr>
          <w:rFonts w:ascii="Open Sans" w:eastAsia="Montserrat" w:hAnsi="Open Sans" w:cs="Open Sans"/>
          <w:sz w:val="20"/>
          <w:szCs w:val="20"/>
        </w:rPr>
        <w:t>, en prenant des engagements explicites et en consacrant des fonds au secteur des MH.</w:t>
      </w:r>
    </w:p>
    <w:p w14:paraId="2CD94A49" w14:textId="77777777" w:rsidR="008A7EF1" w:rsidRPr="008A7EF1" w:rsidRDefault="008A7EF1" w:rsidP="006805AA">
      <w:pPr>
        <w:pStyle w:val="ListParagraph"/>
        <w:numPr>
          <w:ilvl w:val="0"/>
          <w:numId w:val="8"/>
        </w:numPr>
        <w:spacing w:after="120" w:line="240" w:lineRule="auto"/>
        <w:ind w:left="714" w:hanging="357"/>
        <w:rPr>
          <w:rFonts w:ascii="Open Sans" w:eastAsia="Montserrat" w:hAnsi="Open Sans" w:cs="Open Sans"/>
          <w:sz w:val="20"/>
          <w:szCs w:val="20"/>
        </w:rPr>
      </w:pPr>
      <w:r w:rsidRPr="008A7EF1">
        <w:rPr>
          <w:rFonts w:ascii="Open Sans" w:hAnsi="Open Sans" w:cs="Open Sans"/>
          <w:b/>
          <w:bCs/>
          <w:color w:val="892678" w:themeColor="accent1"/>
          <w:sz w:val="20"/>
          <w:szCs w:val="20"/>
          <w:lang w:val="en-US"/>
        </w:rPr>
        <w:t>Créer des mécanismes pour que le secteur de la VFG et des MH continue à jouer un rôle de premier plan et à participer</w:t>
      </w:r>
      <w:r w:rsidRPr="008A7EF1">
        <w:rPr>
          <w:rFonts w:ascii="Open Sans" w:eastAsia="Montserrat" w:hAnsi="Open Sans" w:cs="Open Sans"/>
          <w:sz w:val="20"/>
          <w:szCs w:val="20"/>
        </w:rPr>
        <w:t xml:space="preserve"> à l’élaboration et à l’évaluation des politiques fédérales, y compris pour les organisations de personnes autochtones, noires, racisées, 2ESLGBTQIA+, handicapées, en zones rurales et nordiques, et dirigées par des survivantes.</w:t>
      </w:r>
    </w:p>
    <w:p w14:paraId="2703A744" w14:textId="77777777" w:rsidR="008A7EF1" w:rsidRPr="008A7EF1" w:rsidRDefault="008A7EF1" w:rsidP="006805AA">
      <w:pPr>
        <w:pStyle w:val="ListParagraph"/>
        <w:numPr>
          <w:ilvl w:val="0"/>
          <w:numId w:val="8"/>
        </w:numPr>
        <w:spacing w:after="120" w:line="240" w:lineRule="auto"/>
        <w:ind w:left="714" w:hanging="357"/>
        <w:rPr>
          <w:rFonts w:ascii="Open Sans" w:eastAsia="Montserrat" w:hAnsi="Open Sans" w:cs="Open Sans"/>
          <w:sz w:val="20"/>
          <w:szCs w:val="20"/>
        </w:rPr>
      </w:pPr>
      <w:r w:rsidRPr="008A7EF1">
        <w:rPr>
          <w:rFonts w:ascii="Open Sans" w:hAnsi="Open Sans" w:cs="Open Sans"/>
          <w:b/>
          <w:bCs/>
          <w:color w:val="892678" w:themeColor="accent1"/>
          <w:sz w:val="20"/>
          <w:szCs w:val="20"/>
          <w:lang w:val="en-US"/>
        </w:rPr>
        <w:t xml:space="preserve">Harmoniser les accords de financement fédéraux, provinciaux et territoriaux </w:t>
      </w:r>
      <w:r w:rsidRPr="008A7EF1">
        <w:rPr>
          <w:rFonts w:ascii="Open Sans" w:eastAsia="Montserrat" w:hAnsi="Open Sans" w:cs="Open Sans"/>
          <w:sz w:val="20"/>
          <w:szCs w:val="20"/>
        </w:rPr>
        <w:t>afin que les MH ne soient pas obligées de répondre à des exigences contradictoires entre plusieurs paliers de gouvernement, et que les flux de financement soutiennent une planification à long terme plutôt que des cycles de projets à court terme.</w:t>
      </w:r>
    </w:p>
    <w:p w14:paraId="47E6AC8B" w14:textId="14DD6CA9" w:rsidR="008A7EF1" w:rsidRPr="00274F39" w:rsidRDefault="008A7EF1" w:rsidP="00274F39">
      <w:pPr>
        <w:pStyle w:val="ListParagraph"/>
        <w:numPr>
          <w:ilvl w:val="0"/>
          <w:numId w:val="8"/>
        </w:numPr>
        <w:spacing w:after="120" w:line="240" w:lineRule="auto"/>
        <w:ind w:left="714" w:hanging="357"/>
        <w:rPr>
          <w:rFonts w:ascii="Open Sans" w:eastAsia="Montserrat" w:hAnsi="Open Sans" w:cs="Open Sans"/>
          <w:sz w:val="20"/>
          <w:szCs w:val="20"/>
        </w:rPr>
      </w:pPr>
      <w:r w:rsidRPr="008A7EF1">
        <w:rPr>
          <w:rFonts w:ascii="Open Sans" w:hAnsi="Open Sans" w:cs="Open Sans"/>
          <w:b/>
          <w:bCs/>
          <w:color w:val="892678" w:themeColor="accent1"/>
          <w:sz w:val="20"/>
          <w:szCs w:val="20"/>
          <w:lang w:val="en-US"/>
        </w:rPr>
        <w:t xml:space="preserve">Créer et financer un poste de commissaire chargée de la VFG </w:t>
      </w:r>
      <w:r w:rsidRPr="008A7EF1">
        <w:rPr>
          <w:rFonts w:ascii="Open Sans" w:eastAsia="Montserrat" w:hAnsi="Open Sans" w:cs="Open Sans"/>
          <w:sz w:val="20"/>
          <w:szCs w:val="20"/>
        </w:rPr>
        <w:t xml:space="preserve">afin d’assurer le suivi du Plan d’action national et de </w:t>
      </w:r>
      <w:proofErr w:type="spellStart"/>
      <w:r w:rsidRPr="008A7EF1">
        <w:rPr>
          <w:rFonts w:ascii="Open Sans" w:eastAsia="Montserrat" w:hAnsi="Open Sans" w:cs="Open Sans"/>
          <w:sz w:val="20"/>
          <w:szCs w:val="20"/>
        </w:rPr>
        <w:t>garantir</w:t>
      </w:r>
      <w:proofErr w:type="spellEnd"/>
      <w:r w:rsidRPr="008A7EF1">
        <w:rPr>
          <w:rFonts w:ascii="Open Sans" w:eastAsia="Montserrat" w:hAnsi="Open Sans" w:cs="Open Sans"/>
          <w:sz w:val="20"/>
          <w:szCs w:val="20"/>
        </w:rPr>
        <w:t xml:space="preserve"> la </w:t>
      </w:r>
      <w:proofErr w:type="spellStart"/>
      <w:r w:rsidRPr="008A7EF1">
        <w:rPr>
          <w:rFonts w:ascii="Open Sans" w:eastAsia="Montserrat" w:hAnsi="Open Sans" w:cs="Open Sans"/>
          <w:sz w:val="20"/>
          <w:szCs w:val="20"/>
        </w:rPr>
        <w:t>redevabilité</w:t>
      </w:r>
      <w:proofErr w:type="spellEnd"/>
      <w:r w:rsidRPr="008A7EF1">
        <w:rPr>
          <w:rFonts w:ascii="Open Sans" w:eastAsia="Montserrat" w:hAnsi="Open Sans" w:cs="Open Sans"/>
          <w:sz w:val="20"/>
          <w:szCs w:val="20"/>
        </w:rPr>
        <w:t>.</w:t>
      </w:r>
    </w:p>
    <w:p w14:paraId="77762B9B" w14:textId="635DF32D" w:rsidR="008A7EF1" w:rsidRPr="008A7EF1" w:rsidRDefault="008A7EF1" w:rsidP="00F7035C">
      <w:pPr>
        <w:spacing w:line="240" w:lineRule="auto"/>
        <w:rPr>
          <w:rFonts w:ascii="Open Sans" w:eastAsia="Montserrat" w:hAnsi="Open Sans" w:cs="Open Sans"/>
          <w:kern w:val="0"/>
          <w:sz w:val="20"/>
          <w:szCs w:val="20"/>
          <w:lang w:val="fr-CA"/>
          <w14:ligatures w14:val="none"/>
        </w:rPr>
      </w:pPr>
      <w:r w:rsidRPr="008A7EF1">
        <w:rPr>
          <w:rFonts w:ascii="Open Sans" w:eastAsia="Arial" w:hAnsi="Open Sans" w:cs="Arial"/>
          <w:kern w:val="0"/>
          <w:sz w:val="20"/>
          <w:szCs w:val="22"/>
          <w:lang w:val="fr-CA"/>
          <w14:ligatures w14:val="none"/>
        </w:rPr>
        <w:t xml:space="preserve">Les survivantes de VFF et de VFG ont souvent besoin de bien plus qu’un simple </w:t>
      </w:r>
      <w:r w:rsidRPr="008A7EF1">
        <w:rPr>
          <w:rFonts w:ascii="Open Sans" w:hAnsi="Open Sans"/>
          <w:sz w:val="20"/>
          <w:lang w:val="fr-CA"/>
        </w:rPr>
        <w:t>hébergement</w:t>
      </w:r>
      <w:r w:rsidRPr="008A7EF1">
        <w:rPr>
          <w:rFonts w:ascii="Open Sans" w:eastAsia="Arial" w:hAnsi="Open Sans" w:cs="Arial"/>
          <w:kern w:val="0"/>
          <w:sz w:val="20"/>
          <w:szCs w:val="22"/>
          <w:lang w:val="fr-CA"/>
          <w14:ligatures w14:val="none"/>
        </w:rPr>
        <w:t xml:space="preserve"> d’urgence. Elles ont notamment besoin de soins tenant compte des traumatismes, d’une aide juridique, d’un accompagnement auprès des services d’immigration et de protection de l’enfance, ainsi que de services adaptés à leur culture. Les MH sont en mesure de fournir tous ces services, qui s’inscrivent dans un système de soutien intégré et interdépendant. Pour garantir l’accessibilité des </w:t>
      </w:r>
      <w:r w:rsidRPr="008A7EF1">
        <w:rPr>
          <w:rFonts w:ascii="Open Sans" w:eastAsia="Arial" w:hAnsi="Open Sans" w:cs="Arial"/>
          <w:kern w:val="0"/>
          <w:sz w:val="20"/>
          <w:szCs w:val="22"/>
          <w:lang w:val="fr-CA"/>
          <w14:ligatures w14:val="none"/>
        </w:rPr>
        <w:lastRenderedPageBreak/>
        <w:t xml:space="preserve">services, </w:t>
      </w:r>
      <w:r w:rsidRPr="008A7EF1">
        <w:rPr>
          <w:rFonts w:ascii="Open Sans" w:hAnsi="Open Sans" w:cs="Open Sans"/>
          <w:b/>
          <w:bCs/>
          <w:color w:val="892678" w:themeColor="accent1"/>
          <w:sz w:val="20"/>
          <w:szCs w:val="20"/>
          <w:lang w:val="en-US"/>
        </w:rPr>
        <w:t>quel que soit le lieu où vivent, travaillent ou étudient les survivantes</w:t>
      </w:r>
      <w:r w:rsidRPr="008A7EF1">
        <w:rPr>
          <w:rFonts w:ascii="Open Sans" w:eastAsia="Arial" w:hAnsi="Open Sans" w:cs="Arial"/>
          <w:kern w:val="0"/>
          <w:sz w:val="20"/>
          <w:szCs w:val="22"/>
          <w:lang w:val="fr-CA"/>
          <w14:ligatures w14:val="none"/>
        </w:rPr>
        <w:t xml:space="preserve">, les organisations qui les soutiennent ont besoin d’un financement flexible, assorti d’engagements couvrant l’intégralité des dix années du Plan d’action national initial, jusqu’en 2032, avec des investissements clairement définis pour les cinq prochaines </w:t>
      </w:r>
      <w:r w:rsidR="004F51A4" w:rsidRPr="0094079E">
        <w:rPr>
          <w:noProof/>
          <w:lang w:val="en-US"/>
        </w:rPr>
        <mc:AlternateContent>
          <mc:Choice Requires="wps">
            <w:drawing>
              <wp:anchor distT="91440" distB="91440" distL="114300" distR="114300" simplePos="0" relativeHeight="251658240" behindDoc="0" locked="0" layoutInCell="1" allowOverlap="1" wp14:anchorId="0916EC02" wp14:editId="1D6AB92C">
                <wp:simplePos x="0" y="0"/>
                <wp:positionH relativeFrom="margin">
                  <wp:posOffset>-194310</wp:posOffset>
                </wp:positionH>
                <wp:positionV relativeFrom="paragraph">
                  <wp:posOffset>979805</wp:posOffset>
                </wp:positionV>
                <wp:extent cx="511810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6A131898" w14:textId="71314F6D" w:rsidR="0094079E" w:rsidRPr="00A21019" w:rsidRDefault="00A21019" w:rsidP="00C74E27">
                            <w:pPr>
                              <w:pBdr>
                                <w:top w:val="single" w:sz="24" w:space="0" w:color="892678" w:themeColor="accent1"/>
                                <w:bottom w:val="single" w:sz="24" w:space="8" w:color="892678" w:themeColor="accent1"/>
                              </w:pBdr>
                              <w:spacing w:after="0"/>
                              <w:rPr>
                                <w:rFonts w:ascii="Open Sans" w:hAnsi="Open Sans" w:cs="Open Sans"/>
                                <w:i/>
                                <w:iCs/>
                                <w:color w:val="892678" w:themeColor="accent1"/>
                                <w:sz w:val="20"/>
                                <w:szCs w:val="20"/>
                                <w:lang w:val="fr-CA"/>
                              </w:rPr>
                            </w:pPr>
                            <w:r w:rsidRPr="00A21019">
                              <w:rPr>
                                <w:rFonts w:ascii="Open Sans" w:hAnsi="Open Sans" w:cs="Open Sans"/>
                                <w:i/>
                                <w:iCs/>
                                <w:color w:val="892678" w:themeColor="accent1"/>
                                <w:sz w:val="20"/>
                                <w:szCs w:val="20"/>
                                <w:lang w:val="fr-CA"/>
                              </w:rPr>
                              <w:t xml:space="preserve">Une approche pangouvernementale – englobant la prévention, la réforme juridique, le logement, les soins de santé, l’éducation et la justice – est indispensable pour s’attaquer aux causes profondes et aux conséquences à long terme de la violence. Pour garantir que </w:t>
                            </w:r>
                            <w:r w:rsidRPr="00A21019">
                              <w:rPr>
                                <w:rFonts w:ascii="Open Sans" w:hAnsi="Open Sans" w:cs="Open Sans"/>
                                <w:b/>
                                <w:bCs/>
                                <w:i/>
                                <w:iCs/>
                                <w:color w:val="892678" w:themeColor="accent1"/>
                                <w:sz w:val="20"/>
                                <w:szCs w:val="20"/>
                                <w:lang w:val="fr-CA"/>
                              </w:rPr>
                              <w:t>tous les services du gouvernement fédéral soient prêts à adopter cette approche</w:t>
                            </w:r>
                            <w:r w:rsidRPr="00A21019">
                              <w:rPr>
                                <w:rFonts w:ascii="Open Sans" w:hAnsi="Open Sans" w:cs="Open Sans"/>
                                <w:i/>
                                <w:iCs/>
                                <w:color w:val="892678" w:themeColor="accent1"/>
                                <w:sz w:val="20"/>
                                <w:szCs w:val="20"/>
                                <w:lang w:val="fr-CA"/>
                              </w:rPr>
                              <w:t>, il est essentiel de financer intégralement le renouvellement d’une stratégie fédérale globale visant à prévenir et à lutter contre la violence fondée sur le genre.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EC02" id="_x0000_t202" coordsize="21600,21600" o:spt="202" path="m,l,21600r21600,l21600,xe">
                <v:stroke joinstyle="miter"/>
                <v:path gradientshapeok="t" o:connecttype="rect"/>
              </v:shapetype>
              <v:shape id="Text Box 2" o:spid="_x0000_s1026" type="#_x0000_t202" style="position:absolute;margin-left:-15.3pt;margin-top:77.15pt;width:403pt;height:110.55pt;z-index:25165824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" filled="f" stroked="f">
                <v:textbox style="mso-fit-shape-to-text:t">
                  <w:txbxContent>
                    <w:p w14:paraId="6A131898" w14:textId="71314F6D" w:rsidR="0094079E" w:rsidRPr="00A21019" w:rsidRDefault="00A21019" w:rsidP="00C74E27">
                      <w:pPr>
                        <w:pBdr>
                          <w:top w:val="single" w:sz="24" w:space="0" w:color="892678" w:themeColor="accent1"/>
                          <w:bottom w:val="single" w:sz="24" w:space="8" w:color="892678" w:themeColor="accent1"/>
                        </w:pBdr>
                        <w:spacing w:after="0"/>
                        <w:rPr>
                          <w:rFonts w:ascii="Open Sans" w:hAnsi="Open Sans" w:cs="Open Sans"/>
                          <w:i/>
                          <w:iCs/>
                          <w:color w:val="892678" w:themeColor="accent1"/>
                          <w:sz w:val="20"/>
                          <w:szCs w:val="20"/>
                          <w:lang w:val="fr-CA"/>
                        </w:rPr>
                      </w:pPr>
                      <w:r w:rsidRPr="00A21019">
                        <w:rPr>
                          <w:rFonts w:ascii="Open Sans" w:hAnsi="Open Sans" w:cs="Open Sans"/>
                          <w:i/>
                          <w:iCs/>
                          <w:color w:val="892678" w:themeColor="accent1"/>
                          <w:sz w:val="20"/>
                          <w:szCs w:val="20"/>
                          <w:lang w:val="fr-CA"/>
                        </w:rPr>
                        <w:t xml:space="preserve">Une approche pangouvernementale – englobant la prévention, la réforme juridique, le logement, les soins de santé, l’éducation et la justice – est indispensable pour s’attaquer aux causes profondes et aux conséquences à long terme de la violence. Pour garantir que </w:t>
                      </w:r>
                      <w:r w:rsidRPr="00A21019">
                        <w:rPr>
                          <w:rFonts w:ascii="Open Sans" w:hAnsi="Open Sans" w:cs="Open Sans"/>
                          <w:b/>
                          <w:bCs/>
                          <w:i/>
                          <w:iCs/>
                          <w:color w:val="892678" w:themeColor="accent1"/>
                          <w:sz w:val="20"/>
                          <w:szCs w:val="20"/>
                          <w:lang w:val="fr-CA"/>
                        </w:rPr>
                        <w:t>tous les services du gouvernement fédéral soient prêts à adopter cette approche</w:t>
                      </w:r>
                      <w:r w:rsidRPr="00A21019">
                        <w:rPr>
                          <w:rFonts w:ascii="Open Sans" w:hAnsi="Open Sans" w:cs="Open Sans"/>
                          <w:i/>
                          <w:iCs/>
                          <w:color w:val="892678" w:themeColor="accent1"/>
                          <w:sz w:val="20"/>
                          <w:szCs w:val="20"/>
                          <w:lang w:val="fr-CA"/>
                        </w:rPr>
                        <w:t>, il est essentiel de financer intégralement le renouvellement d’une stratégie fédérale globale visant à prévenir et à lutter contre la violence fondée sur le genre.</w:t>
                      </w:r>
                    </w:p>
                  </w:txbxContent>
                </v:textbox>
                <w10:wrap type="topAndBottom" anchorx="margin"/>
              </v:shape>
            </w:pict>
          </mc:Fallback>
        </mc:AlternateContent>
      </w:r>
      <w:r w:rsidRPr="008A7EF1">
        <w:rPr>
          <w:rFonts w:ascii="Open Sans" w:eastAsia="Arial" w:hAnsi="Open Sans" w:cs="Arial"/>
          <w:kern w:val="0"/>
          <w:sz w:val="20"/>
          <w:szCs w:val="22"/>
          <w:lang w:val="fr-CA"/>
          <w14:ligatures w14:val="none"/>
        </w:rPr>
        <w:t>années.</w:t>
      </w:r>
    </w:p>
    <w:p w14:paraId="2272B1EB" w14:textId="4ADF6E57" w:rsidR="00F7035C" w:rsidRPr="00F7035C" w:rsidRDefault="00F7035C" w:rsidP="00F7035C">
      <w:pPr>
        <w:spacing w:line="240" w:lineRule="auto"/>
        <w:rPr>
          <w:rFonts w:ascii="Open Sans" w:eastAsia="Montserrat" w:hAnsi="Open Sans" w:cs="Open Sans"/>
          <w:sz w:val="20"/>
          <w:szCs w:val="20"/>
          <w:lang w:val="fr-CA"/>
        </w:rPr>
      </w:pPr>
      <w:r w:rsidRPr="00F7035C">
        <w:rPr>
          <w:rFonts w:ascii="Open Sans" w:eastAsia="Montserrat" w:hAnsi="Open Sans" w:cs="Open Sans"/>
          <w:sz w:val="20"/>
          <w:szCs w:val="20"/>
          <w:lang w:val="fr-CA"/>
        </w:rPr>
        <w:t xml:space="preserve">Pour que le Plan d’action national atteigne ses objectifs ambitieux, il faut qu’un organisme indépendant assure sa surveillance et sa redevabilité. La </w:t>
      </w:r>
      <w:r w:rsidRPr="00F7035C">
        <w:rPr>
          <w:rFonts w:ascii="Open Sans" w:hAnsi="Open Sans"/>
          <w:sz w:val="20"/>
          <w:lang w:val="fr-CA"/>
        </w:rPr>
        <w:t>recommandation</w:t>
      </w:r>
      <w:r w:rsidRPr="00F7035C">
        <w:rPr>
          <w:rFonts w:ascii="Open Sans" w:eastAsia="Montserrat" w:hAnsi="Open Sans" w:cs="Open Sans"/>
          <w:sz w:val="20"/>
          <w:szCs w:val="20"/>
          <w:lang w:val="fr-CA"/>
        </w:rPr>
        <w:t xml:space="preserve"> V.17 de la Commission des pertes massives préconise la mise en place d’un cadre national de redevabilité. Pour donner suite à la recommandation de la Commission, le gouvernement devrait </w:t>
      </w:r>
      <w:r w:rsidRPr="00F7035C">
        <w:rPr>
          <w:rFonts w:ascii="Open Sans" w:hAnsi="Open Sans" w:cs="Open Sans"/>
          <w:b/>
          <w:bCs/>
          <w:color w:val="892678" w:themeColor="accent1"/>
          <w:sz w:val="20"/>
          <w:szCs w:val="20"/>
          <w:lang w:val="en-US"/>
        </w:rPr>
        <w:t>créer et financer un poste de commissaire chargée de la VFG ainsi qu’un bureau doté de pouvoirs similaires à ceux d’une institution de l’ombudsman</w:t>
      </w:r>
      <w:r w:rsidRPr="00F7035C">
        <w:rPr>
          <w:rFonts w:ascii="Open Sans" w:eastAsia="Montserrat" w:hAnsi="Open Sans" w:cs="Open Sans"/>
          <w:sz w:val="20"/>
          <w:szCs w:val="20"/>
          <w:lang w:val="fr-CA"/>
        </w:rPr>
        <w:t xml:space="preserve">. Bien que cette institution ait un mandat plus large que la simple supervision du PAN – notamment, de veiller au respect par le Canada de ses obligations internationales, telles que la </w:t>
      </w:r>
      <w:r w:rsidRPr="00F7035C">
        <w:rPr>
          <w:rFonts w:ascii="Open Sans" w:eastAsia="Montserrat" w:hAnsi="Open Sans" w:cs="Open Sans"/>
          <w:i/>
          <w:iCs/>
          <w:sz w:val="20"/>
          <w:szCs w:val="20"/>
          <w:lang w:val="fr-CA"/>
        </w:rPr>
        <w:t>Convention sur l’élimination de toutes les formes de discrimination à l’égard des femmes</w:t>
      </w:r>
      <w:r w:rsidRPr="00F7035C">
        <w:rPr>
          <w:rFonts w:ascii="Open Sans" w:eastAsia="Montserrat" w:hAnsi="Open Sans" w:cs="Open Sans"/>
          <w:sz w:val="20"/>
          <w:szCs w:val="20"/>
          <w:lang w:val="fr-CA"/>
        </w:rPr>
        <w:t xml:space="preserve"> et les recommandations de la Rapporteuse spéciale des Nations Unies sur la violence à l’égard des femmes et des filles –, elle </w:t>
      </w:r>
      <w:r w:rsidRPr="00F7035C">
        <w:rPr>
          <w:rFonts w:ascii="Open Sans" w:hAnsi="Open Sans" w:cs="Open Sans"/>
          <w:b/>
          <w:bCs/>
          <w:color w:val="892678" w:themeColor="accent1"/>
          <w:sz w:val="20"/>
          <w:szCs w:val="20"/>
          <w:lang w:val="en-US"/>
        </w:rPr>
        <w:t>jouerait un rôle essentiel pour garantir la transparence et la responsabilité tant du PAN que de la stratégie fédérale de lutte contre la VFG</w:t>
      </w:r>
      <w:r w:rsidRPr="00F7035C">
        <w:rPr>
          <w:rFonts w:ascii="Open Sans" w:eastAsia="Montserrat" w:hAnsi="Open Sans" w:cs="Open Sans"/>
          <w:sz w:val="20"/>
          <w:szCs w:val="20"/>
          <w:lang w:val="fr-CA"/>
        </w:rPr>
        <w:t xml:space="preserve">. Un renforcement de la surveillance pourrait </w:t>
      </w:r>
      <w:r w:rsidRPr="00F7035C">
        <w:rPr>
          <w:rFonts w:ascii="Open Sans" w:hAnsi="Open Sans" w:cs="Open Sans"/>
          <w:b/>
          <w:bCs/>
          <w:color w:val="892678" w:themeColor="accent1"/>
          <w:sz w:val="20"/>
          <w:szCs w:val="20"/>
          <w:lang w:val="en-US"/>
        </w:rPr>
        <w:t>assurer une meilleure cohérence entre les différentes juridictions</w:t>
      </w:r>
      <w:r w:rsidRPr="00F7035C">
        <w:rPr>
          <w:rFonts w:ascii="Open Sans" w:eastAsia="Montserrat" w:hAnsi="Open Sans" w:cs="Open Sans"/>
          <w:sz w:val="20"/>
          <w:szCs w:val="20"/>
          <w:lang w:val="fr-CA"/>
        </w:rPr>
        <w:t xml:space="preserve"> et favoriser l’identification et la diffusion des pratiques exemplaires et des stratégies efficaces à l’échelle nationale.</w:t>
      </w:r>
    </w:p>
    <w:p w14:paraId="6518D74E" w14:textId="2759B3D0" w:rsidR="00F7035C" w:rsidRPr="00F7035C" w:rsidRDefault="00F7035C" w:rsidP="00F7035C">
      <w:pPr>
        <w:spacing w:after="120" w:line="240" w:lineRule="auto"/>
        <w:rPr>
          <w:rFonts w:ascii="Open Sans" w:eastAsia="Montserrat" w:hAnsi="Open Sans" w:cs="Open Sans"/>
          <w:sz w:val="20"/>
          <w:szCs w:val="20"/>
          <w:lang w:val="fr-CA"/>
        </w:rPr>
      </w:pPr>
      <w:r w:rsidRPr="00F7035C">
        <w:rPr>
          <w:rFonts w:ascii="Open Sans" w:eastAsia="Montserrat" w:hAnsi="Open Sans" w:cs="Open Sans"/>
          <w:sz w:val="20"/>
          <w:szCs w:val="20"/>
          <w:highlight w:val="yellow"/>
          <w:lang w:val="fr-CA"/>
        </w:rPr>
        <w:t>&lt;</w:t>
      </w:r>
      <w:proofErr w:type="gramStart"/>
      <w:r w:rsidRPr="00F7035C">
        <w:rPr>
          <w:rFonts w:ascii="Open Sans" w:eastAsia="Montserrat" w:hAnsi="Open Sans" w:cs="Open Sans"/>
          <w:sz w:val="20"/>
          <w:szCs w:val="20"/>
          <w:highlight w:val="yellow"/>
          <w:lang w:val="fr-CA"/>
        </w:rPr>
        <w:t>adaptez</w:t>
      </w:r>
      <w:proofErr w:type="gramEnd"/>
      <w:r w:rsidRPr="00F7035C">
        <w:rPr>
          <w:rFonts w:ascii="Open Sans" w:eastAsia="Montserrat" w:hAnsi="Open Sans" w:cs="Open Sans"/>
          <w:sz w:val="20"/>
          <w:szCs w:val="20"/>
          <w:highlight w:val="yellow"/>
          <w:lang w:val="fr-CA"/>
        </w:rPr>
        <w:t xml:space="preserve"> pour expliquer pourquoi vous vous adressez à cette personne ou à ce service en particulier&gt;</w:t>
      </w:r>
    </w:p>
    <w:p w14:paraId="0508BE0E" w14:textId="77777777" w:rsidR="00F7035C" w:rsidRPr="00F7035C" w:rsidRDefault="00F7035C" w:rsidP="00F7035C">
      <w:pPr>
        <w:spacing w:after="120" w:line="240" w:lineRule="auto"/>
        <w:rPr>
          <w:rFonts w:ascii="Open Sans" w:eastAsia="Montserrat" w:hAnsi="Open Sans" w:cs="Open Sans"/>
          <w:sz w:val="20"/>
          <w:szCs w:val="20"/>
          <w:lang w:val="fr-CA"/>
        </w:rPr>
      </w:pPr>
      <w:r w:rsidRPr="00F7035C">
        <w:rPr>
          <w:rFonts w:ascii="Open Sans" w:eastAsia="Montserrat" w:hAnsi="Open Sans" w:cs="Open Sans"/>
          <w:sz w:val="20"/>
          <w:szCs w:val="20"/>
          <w:lang w:val="fr-CA"/>
        </w:rPr>
        <w:t xml:space="preserve">En tant que ministre des Femmes et de l’Égalité des genres (FEGC), vous et votre ministère êtes particulièrement bien placés pour mettre en place les infrastructures sociales essentielles à la lutte contre l’épidémie de violence fondée sur le genre au Canada. Le secteur de la VFG se félicite de l’enveloppe historique de 660,5 millions sur </w:t>
      </w:r>
      <w:proofErr w:type="gramStart"/>
      <w:r w:rsidRPr="00F7035C">
        <w:rPr>
          <w:rFonts w:ascii="Open Sans" w:eastAsia="Montserrat" w:hAnsi="Open Sans" w:cs="Open Sans"/>
          <w:sz w:val="20"/>
          <w:szCs w:val="20"/>
          <w:lang w:val="fr-CA"/>
        </w:rPr>
        <w:t>cinq ans allouée</w:t>
      </w:r>
      <w:proofErr w:type="gramEnd"/>
      <w:r w:rsidRPr="00F7035C">
        <w:rPr>
          <w:rFonts w:ascii="Open Sans" w:eastAsia="Montserrat" w:hAnsi="Open Sans" w:cs="Open Sans"/>
          <w:sz w:val="20"/>
          <w:szCs w:val="20"/>
          <w:lang w:val="fr-CA"/>
        </w:rPr>
        <w:t xml:space="preserve"> à FEGC dans le budget 2025. Nous nous réjouissons à l’idée de poursuivre notre collaboration avec vous afin d’assurer le financement intégral et la </w:t>
      </w:r>
      <w:proofErr w:type="gramStart"/>
      <w:r w:rsidRPr="00F7035C">
        <w:rPr>
          <w:rFonts w:ascii="Open Sans" w:eastAsia="Montserrat" w:hAnsi="Open Sans" w:cs="Open Sans"/>
          <w:sz w:val="20"/>
          <w:szCs w:val="20"/>
          <w:lang w:val="fr-CA"/>
        </w:rPr>
        <w:t>mise</w:t>
      </w:r>
      <w:proofErr w:type="gramEnd"/>
      <w:r w:rsidRPr="00F7035C">
        <w:rPr>
          <w:rFonts w:ascii="Open Sans" w:eastAsia="Montserrat" w:hAnsi="Open Sans" w:cs="Open Sans"/>
          <w:sz w:val="20"/>
          <w:szCs w:val="20"/>
          <w:lang w:val="fr-CA"/>
        </w:rPr>
        <w:t xml:space="preserve"> en place des ressources nécessaires au Plan d’action national, y compris la stratégie fédérale.</w:t>
      </w:r>
    </w:p>
    <w:p w14:paraId="221F85A0" w14:textId="77777777" w:rsidR="00540C92" w:rsidRPr="00540C92" w:rsidRDefault="00540C92" w:rsidP="00540C92">
      <w:pPr>
        <w:spacing w:after="120" w:line="240" w:lineRule="auto"/>
        <w:rPr>
          <w:rFonts w:ascii="Open Sans" w:eastAsia="Montserrat" w:hAnsi="Open Sans" w:cs="Open Sans"/>
          <w:sz w:val="20"/>
          <w:szCs w:val="20"/>
          <w:lang w:val="fr-CA"/>
        </w:rPr>
      </w:pPr>
      <w:r w:rsidRPr="00540C92">
        <w:rPr>
          <w:rFonts w:ascii="Open Sans" w:eastAsia="Aptos" w:hAnsi="Open Sans" w:cs="Times New Roman"/>
          <w:sz w:val="20"/>
          <w:highlight w:val="yellow"/>
          <w:lang w:val="fr-CA"/>
        </w:rPr>
        <w:t>&lt;</w:t>
      </w:r>
      <w:proofErr w:type="gramStart"/>
      <w:r w:rsidRPr="00540C92">
        <w:rPr>
          <w:rFonts w:ascii="Open Sans" w:eastAsia="Aptos" w:hAnsi="Open Sans" w:cs="Times New Roman"/>
          <w:sz w:val="20"/>
          <w:highlight w:val="yellow"/>
          <w:lang w:val="fr-CA"/>
        </w:rPr>
        <w:t>adaptez</w:t>
      </w:r>
      <w:proofErr w:type="gramEnd"/>
      <w:r w:rsidRPr="00540C92">
        <w:rPr>
          <w:rFonts w:ascii="Open Sans" w:eastAsia="Aptos" w:hAnsi="Open Sans" w:cs="Times New Roman"/>
          <w:sz w:val="20"/>
          <w:highlight w:val="yellow"/>
          <w:lang w:val="fr-CA"/>
        </w:rPr>
        <w:t xml:space="preserve"> le texte ci-dessous à votre organisation&gt;</w:t>
      </w:r>
    </w:p>
    <w:p w14:paraId="2E5608F1" w14:textId="77777777" w:rsidR="00540C92" w:rsidRPr="00540C92" w:rsidRDefault="00540C92" w:rsidP="00540C92">
      <w:pPr>
        <w:spacing w:line="240" w:lineRule="auto"/>
        <w:rPr>
          <w:rFonts w:ascii="Anek Latin SemiCondensed SemiCo" w:eastAsia="Aptos" w:hAnsi="Anek Latin SemiCondensed SemiCo" w:cs="Open Sans"/>
          <w:b/>
          <w:bCs/>
          <w:color w:val="892678" w:themeColor="accent1"/>
          <w:sz w:val="36"/>
          <w:szCs w:val="36"/>
          <w:lang w:val="fr-CA"/>
        </w:rPr>
      </w:pPr>
      <w:r w:rsidRPr="00540C92">
        <w:rPr>
          <w:rFonts w:ascii="Anek Latin SemiCondensed SemiCo" w:eastAsia="Aptos" w:hAnsi="Anek Latin SemiCondensed SemiCo" w:cs="Open Sans"/>
          <w:b/>
          <w:bCs/>
          <w:color w:val="892678" w:themeColor="accent1"/>
          <w:sz w:val="36"/>
          <w:szCs w:val="36"/>
          <w:lang w:val="fr-CA"/>
        </w:rPr>
        <w:lastRenderedPageBreak/>
        <w:t>À propos d’Hébergement femmes Canada</w:t>
      </w:r>
    </w:p>
    <w:p w14:paraId="35A1D9C5" w14:textId="77777777" w:rsidR="00540C92" w:rsidRPr="00540C92" w:rsidRDefault="00540C92" w:rsidP="00540C92">
      <w:pPr>
        <w:spacing w:line="240" w:lineRule="auto"/>
        <w:rPr>
          <w:rFonts w:ascii="Open Sans" w:eastAsia="Montserrat" w:hAnsi="Open Sans" w:cs="Open Sans"/>
          <w:sz w:val="20"/>
          <w:szCs w:val="20"/>
          <w:lang w:val="fr-CA"/>
        </w:rPr>
      </w:pPr>
      <w:r w:rsidRPr="00540C92">
        <w:rPr>
          <w:rFonts w:ascii="Open Sans" w:eastAsia="Montserrat" w:hAnsi="Open Sans" w:cs="Open Sans"/>
          <w:sz w:val="20"/>
          <w:szCs w:val="20"/>
          <w:lang w:val="fr-CA"/>
        </w:rPr>
        <w:t xml:space="preserve">Hébergement femmes Canada (HFC) est une organisation nationale qui rassemble et amplifie la voix des associations de MH, des MH individuelles et des fournisseurs de logements de deuxième étape partout au pays. Nous regroupons 16 organisations provinciales et territoriales et soutenons plus de 600 MH qui accueillent des femmes et leurs enfants fuyant la violence. Nous adoptons une approche profondément féministe, intersectionnelle et axée sur la justice, en mettant en relation les organisations, en cocréant des connaissances et en plaidant en faveur d’un changement systémique visant à mettre fin à la violence fondée sur le genre. HFC s’inscrit dans un mouvement. Notre force repose sur les relations que nous entretenons avec nos membres, les survivantes et nos partenaires issus de divers secteurs, qui partagent notre vision d’une société où la sécurité, la dignité et l’équité sont garanties pour toutes les femmes, les personnes trans, bispirituelles et non binaires, ainsi que pour leurs enfants. </w:t>
      </w:r>
    </w:p>
    <w:p w14:paraId="1D2C3AB4" w14:textId="77777777" w:rsidR="00540C92" w:rsidRPr="00540C92" w:rsidRDefault="00540C92" w:rsidP="00540C92">
      <w:pPr>
        <w:spacing w:line="240" w:lineRule="auto"/>
        <w:rPr>
          <w:rFonts w:ascii="Anek Latin SemiCondensed SemiCo" w:eastAsia="Aptos" w:hAnsi="Anek Latin SemiCondensed SemiCo" w:cs="Open Sans"/>
          <w:b/>
          <w:bCs/>
          <w:color w:val="892678" w:themeColor="accent1"/>
          <w:sz w:val="36"/>
          <w:szCs w:val="36"/>
          <w:lang w:val="pt-BR"/>
        </w:rPr>
      </w:pPr>
      <w:r w:rsidRPr="00540C92">
        <w:rPr>
          <w:rFonts w:ascii="Anek Latin SemiCondensed SemiCo" w:eastAsia="Aptos" w:hAnsi="Anek Latin SemiCondensed SemiCo" w:cs="Open Sans"/>
          <w:b/>
          <w:bCs/>
          <w:color w:val="892678" w:themeColor="accent1"/>
          <w:sz w:val="36"/>
          <w:szCs w:val="36"/>
          <w:lang w:val="pt-BR"/>
        </w:rPr>
        <w:t xml:space="preserve">Contact </w:t>
      </w:r>
    </w:p>
    <w:p w14:paraId="44D4C097" w14:textId="77777777" w:rsidR="00540C92" w:rsidRPr="00540C92" w:rsidRDefault="00540C92" w:rsidP="00540C92">
      <w:pPr>
        <w:spacing w:after="0" w:line="240" w:lineRule="auto"/>
        <w:rPr>
          <w:rFonts w:ascii="Open Sans" w:eastAsia="Aptos" w:hAnsi="Open Sans" w:cs="Open Sans"/>
          <w:w w:val="105"/>
          <w:sz w:val="20"/>
          <w:szCs w:val="20"/>
          <w:lang w:val="pt-BR"/>
        </w:rPr>
      </w:pPr>
      <w:r w:rsidRPr="00540C92">
        <w:rPr>
          <w:rFonts w:ascii="Open Sans" w:eastAsia="Aptos" w:hAnsi="Open Sans" w:cs="Open Sans"/>
          <w:w w:val="105"/>
          <w:sz w:val="20"/>
          <w:szCs w:val="20"/>
          <w:lang w:val="pt-BR"/>
        </w:rPr>
        <w:t>Anuradha</w:t>
      </w:r>
      <w:r w:rsidRPr="00540C92">
        <w:rPr>
          <w:rFonts w:ascii="Open Sans" w:eastAsia="Aptos" w:hAnsi="Open Sans" w:cs="Open Sans"/>
          <w:spacing w:val="-17"/>
          <w:w w:val="105"/>
          <w:sz w:val="20"/>
          <w:szCs w:val="20"/>
          <w:lang w:val="pt-BR"/>
        </w:rPr>
        <w:t xml:space="preserve"> </w:t>
      </w:r>
      <w:r w:rsidRPr="00540C92">
        <w:rPr>
          <w:rFonts w:ascii="Open Sans" w:eastAsia="Aptos" w:hAnsi="Open Sans" w:cs="Open Sans"/>
          <w:w w:val="105"/>
          <w:sz w:val="20"/>
          <w:szCs w:val="20"/>
          <w:lang w:val="pt-BR"/>
        </w:rPr>
        <w:t>Dugal,</w:t>
      </w:r>
      <w:r w:rsidRPr="00540C92">
        <w:rPr>
          <w:rFonts w:ascii="Open Sans" w:eastAsia="Aptos" w:hAnsi="Open Sans" w:cs="Open Sans"/>
          <w:spacing w:val="-16"/>
          <w:w w:val="105"/>
          <w:sz w:val="20"/>
          <w:szCs w:val="20"/>
          <w:lang w:val="pt-BR"/>
        </w:rPr>
        <w:t xml:space="preserve"> </w:t>
      </w:r>
      <w:r w:rsidRPr="00540C92">
        <w:rPr>
          <w:rFonts w:ascii="Open Sans" w:eastAsia="Aptos" w:hAnsi="Open Sans" w:cs="Open Sans"/>
          <w:w w:val="105"/>
          <w:sz w:val="20"/>
          <w:szCs w:val="20"/>
          <w:lang w:val="pt-BR"/>
        </w:rPr>
        <w:t>Executive</w:t>
      </w:r>
      <w:r w:rsidRPr="00540C92">
        <w:rPr>
          <w:rFonts w:ascii="Open Sans" w:eastAsia="Aptos" w:hAnsi="Open Sans" w:cs="Open Sans"/>
          <w:spacing w:val="-16"/>
          <w:w w:val="105"/>
          <w:sz w:val="20"/>
          <w:szCs w:val="20"/>
          <w:lang w:val="pt-BR"/>
        </w:rPr>
        <w:t xml:space="preserve"> </w:t>
      </w:r>
      <w:r w:rsidRPr="00540C92">
        <w:rPr>
          <w:rFonts w:ascii="Open Sans" w:eastAsia="Aptos" w:hAnsi="Open Sans" w:cs="Open Sans"/>
          <w:w w:val="105"/>
          <w:sz w:val="20"/>
          <w:szCs w:val="20"/>
          <w:lang w:val="pt-BR"/>
        </w:rPr>
        <w:t>Director</w:t>
      </w:r>
    </w:p>
    <w:p w14:paraId="30ED3959" w14:textId="77777777" w:rsidR="00540C92" w:rsidRPr="00540C92" w:rsidRDefault="00540C92" w:rsidP="00540C92">
      <w:pPr>
        <w:spacing w:after="0" w:line="240" w:lineRule="auto"/>
        <w:rPr>
          <w:rFonts w:ascii="Open Sans" w:eastAsia="Aptos" w:hAnsi="Open Sans" w:cs="Open Sans"/>
          <w:w w:val="105"/>
          <w:sz w:val="20"/>
          <w:szCs w:val="20"/>
          <w:lang w:val="pt-BR"/>
        </w:rPr>
      </w:pPr>
      <w:hyperlink r:id="rId7" w:history="1">
        <w:r w:rsidRPr="00540C92">
          <w:rPr>
            <w:rFonts w:ascii="Open Sans" w:eastAsia="Aptos" w:hAnsi="Open Sans" w:cs="Open Sans"/>
            <w:color w:val="892478" w:themeColor="hyperlink"/>
            <w:w w:val="105"/>
            <w:sz w:val="20"/>
            <w:szCs w:val="20"/>
            <w:u w:val="single"/>
            <w:lang w:val="pt-BR"/>
          </w:rPr>
          <w:t>adugal@endvaw.ca</w:t>
        </w:r>
      </w:hyperlink>
    </w:p>
    <w:p w14:paraId="17BDD2AB" w14:textId="77777777" w:rsidR="00540C92" w:rsidRPr="00540C92" w:rsidRDefault="00540C92" w:rsidP="00540C92">
      <w:pPr>
        <w:spacing w:after="0" w:line="240" w:lineRule="auto"/>
        <w:rPr>
          <w:rFonts w:ascii="Open Sans" w:eastAsia="Aptos" w:hAnsi="Open Sans" w:cs="Open Sans"/>
          <w:w w:val="105"/>
          <w:sz w:val="20"/>
          <w:szCs w:val="20"/>
          <w:lang w:val="pt-BR"/>
        </w:rPr>
      </w:pPr>
      <w:r w:rsidRPr="00540C92">
        <w:rPr>
          <w:rFonts w:ascii="Open Sans" w:eastAsia="Aptos" w:hAnsi="Open Sans" w:cs="Open Sans"/>
          <w:w w:val="105"/>
          <w:sz w:val="20"/>
          <w:szCs w:val="20"/>
          <w:lang w:val="pt-BR"/>
        </w:rPr>
        <w:t>613-680-5119</w:t>
      </w:r>
      <w:r w:rsidRPr="00540C92">
        <w:rPr>
          <w:rFonts w:ascii="Open Sans" w:eastAsia="Aptos" w:hAnsi="Open Sans" w:cs="Times New Roman"/>
          <w:sz w:val="20"/>
        </w:rPr>
        <w:t>, poste</w:t>
      </w:r>
      <w:r w:rsidRPr="00540C92">
        <w:rPr>
          <w:rFonts w:ascii="Open Sans" w:eastAsia="Aptos" w:hAnsi="Open Sans" w:cs="Open Sans"/>
          <w:w w:val="105"/>
          <w:sz w:val="20"/>
          <w:szCs w:val="20"/>
          <w:lang w:val="pt-BR"/>
        </w:rPr>
        <w:t xml:space="preserve"> 115</w:t>
      </w:r>
    </w:p>
    <w:p w14:paraId="68479A99" w14:textId="77777777" w:rsidR="00540C92" w:rsidRPr="00540C92" w:rsidRDefault="00540C92" w:rsidP="00540C92">
      <w:pPr>
        <w:spacing w:after="0" w:line="240" w:lineRule="auto"/>
        <w:rPr>
          <w:rFonts w:ascii="Open Sans" w:eastAsia="Aptos" w:hAnsi="Open Sans" w:cs="Open Sans"/>
          <w:w w:val="105"/>
          <w:sz w:val="20"/>
          <w:szCs w:val="20"/>
          <w:lang w:val="pt-BR"/>
        </w:rPr>
      </w:pPr>
      <w:hyperlink r:id="rId8" w:history="1">
        <w:r w:rsidRPr="00540C92">
          <w:rPr>
            <w:rFonts w:ascii="Open Sans" w:eastAsia="Aptos" w:hAnsi="Open Sans" w:cs="Open Sans"/>
            <w:color w:val="892478" w:themeColor="hyperlink"/>
            <w:w w:val="105"/>
            <w:sz w:val="20"/>
            <w:szCs w:val="20"/>
            <w:u w:val="single"/>
            <w:lang w:val="pt-BR"/>
          </w:rPr>
          <w:t>www.endvaw.ca</w:t>
        </w:r>
      </w:hyperlink>
    </w:p>
    <w:p w14:paraId="1E02CD6E" w14:textId="77777777" w:rsidR="00540C92" w:rsidRPr="00540C92" w:rsidRDefault="00540C92" w:rsidP="00540C92">
      <w:pPr>
        <w:spacing w:after="0" w:line="240" w:lineRule="auto"/>
        <w:rPr>
          <w:rFonts w:ascii="Open Sans" w:eastAsia="Aptos" w:hAnsi="Open Sans" w:cs="Open Sans"/>
          <w:b/>
          <w:bCs/>
          <w:color w:val="892678" w:themeColor="accent1"/>
          <w:sz w:val="20"/>
          <w:szCs w:val="20"/>
          <w:lang w:val="pt-BR"/>
        </w:rPr>
      </w:pPr>
      <w:hyperlink r:id="rId9" w:history="1">
        <w:r w:rsidRPr="00540C92">
          <w:rPr>
            <w:rFonts w:ascii="Open Sans" w:eastAsia="Aptos" w:hAnsi="Open Sans" w:cs="Open Sans"/>
            <w:color w:val="892478" w:themeColor="hyperlink"/>
            <w:w w:val="105"/>
            <w:sz w:val="20"/>
            <w:szCs w:val="20"/>
            <w:u w:val="single"/>
            <w:lang w:val="pt-BR"/>
          </w:rPr>
          <w:t>LinkedIn</w:t>
        </w:r>
      </w:hyperlink>
    </w:p>
    <w:p w14:paraId="6C8FB360" w14:textId="77777777" w:rsidR="00540C92" w:rsidRPr="00540C92" w:rsidRDefault="00540C92" w:rsidP="00540C92">
      <w:pPr>
        <w:widowControl w:val="0"/>
        <w:spacing w:after="120" w:line="240" w:lineRule="auto"/>
        <w:ind w:right="838"/>
        <w:rPr>
          <w:rFonts w:ascii="Open Sans" w:eastAsia="Aptos" w:hAnsi="Open Sans" w:cs="Open Sans"/>
          <w:w w:val="105"/>
          <w:sz w:val="20"/>
          <w:szCs w:val="20"/>
          <w:lang w:val="pt-BR"/>
        </w:rPr>
      </w:pPr>
    </w:p>
    <w:p w14:paraId="06CFCD8D" w14:textId="236984FC" w:rsidR="00C26CB9" w:rsidRPr="00747F74" w:rsidRDefault="00C26CB9" w:rsidP="00540C92">
      <w:pPr>
        <w:spacing w:after="120" w:line="240" w:lineRule="auto"/>
        <w:rPr>
          <w:rFonts w:ascii="Open Sans" w:hAnsi="Open Sans" w:cs="Open Sans"/>
          <w:w w:val="105"/>
          <w:sz w:val="20"/>
          <w:szCs w:val="20"/>
          <w:lang w:val="pt-BR"/>
        </w:rPr>
      </w:pPr>
    </w:p>
    <w:sectPr w:rsidR="00C26CB9" w:rsidRPr="00747F74"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BB1F1" w14:textId="77777777" w:rsidR="00D51FA4" w:rsidRDefault="00D51FA4" w:rsidP="006B4753">
      <w:pPr>
        <w:spacing w:after="0" w:line="240" w:lineRule="auto"/>
      </w:pPr>
      <w:r>
        <w:separator/>
      </w:r>
    </w:p>
  </w:endnote>
  <w:endnote w:type="continuationSeparator" w:id="0">
    <w:p w14:paraId="540704A4" w14:textId="77777777" w:rsidR="00D51FA4" w:rsidRDefault="00D51FA4"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4E1F7078-F958-45F4-955E-530231F56DFA}"/>
    <w:embedBold r:id="rId2" w:fontKey="{A6D472D5-404F-4395-91E9-0C86F9764EF1}"/>
    <w:embedItalic r:id="rId3" w:fontKey="{AE6B46BA-8F06-447C-AAA0-E4CD261ED9BA}"/>
    <w:embedBoldItalic r:id="rId4" w:fontKey="{9337D090-ED81-41E0-BC01-E98302348782}"/>
  </w:font>
  <w:font w:name="Montserrat">
    <w:panose1 w:val="00000000000000000000"/>
    <w:charset w:val="00"/>
    <w:family w:val="auto"/>
    <w:pitch w:val="variable"/>
    <w:sig w:usb0="A00002FF" w:usb1="4000207B" w:usb2="00000000" w:usb3="00000000" w:csb0="00000197" w:csb1="00000000"/>
    <w:embedRegular r:id="rId5" w:fontKey="{4E163E6D-EBD8-4C32-B75F-852369A70A52}"/>
    <w:embedItalic r:id="rId6" w:fontKey="{A18C9688-8174-42F1-9707-ACAB6176CC18}"/>
  </w:font>
  <w:font w:name="Aptos">
    <w:charset w:val="00"/>
    <w:family w:val="swiss"/>
    <w:pitch w:val="variable"/>
    <w:sig w:usb0="20000287" w:usb1="00000003" w:usb2="00000000" w:usb3="00000000" w:csb0="0000019F" w:csb1="00000000"/>
    <w:embedRegular r:id="rId7" w:fontKey="{19EA74FD-32CC-483C-B708-5A5088E57CF1}"/>
    <w:embedBold r:id="rId8" w:fontKey="{E6F289FB-8C8C-40E8-9280-A828B130A6C8}"/>
    <w:embedItalic r:id="rId9" w:fontKey="{2EFDCFC4-1A7B-43E4-823E-BC1C74323E32}"/>
    <w:embedBoldItalic r:id="rId10" w:fontKey="{EAE91BB0-84AA-4726-870F-48E5F1FB9148}"/>
  </w:font>
  <w:font w:name="Aptos Display">
    <w:charset w:val="00"/>
    <w:family w:val="swiss"/>
    <w:pitch w:val="variable"/>
    <w:sig w:usb0="20000287" w:usb1="00000003" w:usb2="00000000" w:usb3="00000000" w:csb0="0000019F" w:csb1="00000000"/>
    <w:embedRegular r:id="rId11" w:fontKey="{7144EBC3-4785-45DF-8F87-658C91ECC55C}"/>
  </w:font>
  <w:font w:name="Open Sans Medium">
    <w:charset w:val="00"/>
    <w:family w:val="auto"/>
    <w:pitch w:val="variable"/>
    <w:sig w:usb0="E00002FF" w:usb1="4000201B" w:usb2="00000028" w:usb3="00000000" w:csb0="0000019F" w:csb1="00000000"/>
    <w:embedRegular r:id="rId12" w:fontKey="{C7614E29-35AA-4301-879E-39D1BF2354D3}"/>
  </w:font>
  <w:font w:name="Arial">
    <w:panose1 w:val="020B0604020202020204"/>
    <w:charset w:val="00"/>
    <w:family w:val="swiss"/>
    <w:pitch w:val="variable"/>
    <w:sig w:usb0="E0002EFF" w:usb1="C000785B" w:usb2="00000009" w:usb3="00000000" w:csb0="000001FF" w:csb1="00000000"/>
  </w:font>
  <w:font w:name="Anek Latin SemiCondensed SemiCo">
    <w:charset w:val="4D"/>
    <w:family w:val="auto"/>
    <w:pitch w:val="variable"/>
    <w:sig w:usb0="A000007F" w:usb1="00000043" w:usb2="00000000" w:usb3="00000000" w:csb0="00000193" w:csb1="00000000"/>
    <w:embedBold r:id="rId13" w:fontKey="{D536E6C8-05E8-4A83-886E-9D3A52AEA5ED}"/>
  </w:font>
  <w:font w:name="Cambria">
    <w:panose1 w:val="02040503050406030204"/>
    <w:charset w:val="00"/>
    <w:family w:val="roman"/>
    <w:pitch w:val="variable"/>
    <w:sig w:usb0="E00006FF" w:usb1="420024FF" w:usb2="02000000" w:usb3="00000000" w:csb0="0000019F" w:csb1="00000000"/>
    <w:embedRegular r:id="rId14" w:fontKey="{22E5F435-7C29-4594-B4A1-D9E9019587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EndPr>
      <w:rPr>
        <w:rStyle w:val="PageNumber"/>
      </w:rPr>
    </w:sdtEnd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EndPr>
      <w:rPr>
        <w:rStyle w:val="PageNumber"/>
      </w:rPr>
    </w:sdtEnd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EndPr>
      <w:rPr>
        <w:rStyle w:val="PageNumber"/>
      </w:rPr>
    </w:sdtEnd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64FBB" w14:textId="77777777" w:rsidR="00D51FA4" w:rsidRDefault="00D51FA4" w:rsidP="006B4753">
      <w:pPr>
        <w:spacing w:after="0" w:line="240" w:lineRule="auto"/>
      </w:pPr>
      <w:r>
        <w:separator/>
      </w:r>
    </w:p>
  </w:footnote>
  <w:footnote w:type="continuationSeparator" w:id="0">
    <w:p w14:paraId="63934777" w14:textId="77777777" w:rsidR="00D51FA4" w:rsidRDefault="00D51FA4"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D51FA4">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D51FA4">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A161A"/>
    <w:multiLevelType w:val="hybridMultilevel"/>
    <w:tmpl w:val="3528C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395CD3"/>
    <w:multiLevelType w:val="hybridMultilevel"/>
    <w:tmpl w:val="3AE035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05F2ACE"/>
    <w:multiLevelType w:val="hybridMultilevel"/>
    <w:tmpl w:val="B64AB5D8"/>
    <w:lvl w:ilvl="0" w:tplc="10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69720678">
    <w:abstractNumId w:val="1"/>
  </w:num>
  <w:num w:numId="2" w16cid:durableId="639068506">
    <w:abstractNumId w:val="3"/>
  </w:num>
  <w:num w:numId="3" w16cid:durableId="750736704">
    <w:abstractNumId w:val="6"/>
  </w:num>
  <w:num w:numId="4" w16cid:durableId="29187663">
    <w:abstractNumId w:val="2"/>
  </w:num>
  <w:num w:numId="5" w16cid:durableId="1783569304">
    <w:abstractNumId w:val="4"/>
  </w:num>
  <w:num w:numId="6" w16cid:durableId="580919206">
    <w:abstractNumId w:val="7"/>
  </w:num>
  <w:num w:numId="7" w16cid:durableId="1280145521">
    <w:abstractNumId w:val="8"/>
  </w:num>
  <w:num w:numId="8" w16cid:durableId="502402535">
    <w:abstractNumId w:val="0"/>
  </w:num>
  <w:num w:numId="9" w16cid:durableId="68425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3082"/>
    <w:rsid w:val="0006741F"/>
    <w:rsid w:val="000A2492"/>
    <w:rsid w:val="000A3F79"/>
    <w:rsid w:val="000D00A7"/>
    <w:rsid w:val="000F14BD"/>
    <w:rsid w:val="000F3F7F"/>
    <w:rsid w:val="00106C67"/>
    <w:rsid w:val="001101C1"/>
    <w:rsid w:val="00134B9B"/>
    <w:rsid w:val="00140EC4"/>
    <w:rsid w:val="00142882"/>
    <w:rsid w:val="001A5AF4"/>
    <w:rsid w:val="001D7456"/>
    <w:rsid w:val="001F02EA"/>
    <w:rsid w:val="001F07EB"/>
    <w:rsid w:val="0025588D"/>
    <w:rsid w:val="00257BEA"/>
    <w:rsid w:val="00274F39"/>
    <w:rsid w:val="00283E05"/>
    <w:rsid w:val="00292534"/>
    <w:rsid w:val="002B5AB1"/>
    <w:rsid w:val="002C258F"/>
    <w:rsid w:val="002D279C"/>
    <w:rsid w:val="002E5203"/>
    <w:rsid w:val="002E6568"/>
    <w:rsid w:val="0031116C"/>
    <w:rsid w:val="00342B3F"/>
    <w:rsid w:val="003530EF"/>
    <w:rsid w:val="00355E67"/>
    <w:rsid w:val="003864DA"/>
    <w:rsid w:val="003C4E82"/>
    <w:rsid w:val="0040013B"/>
    <w:rsid w:val="00452639"/>
    <w:rsid w:val="004547B1"/>
    <w:rsid w:val="00485592"/>
    <w:rsid w:val="004B3A53"/>
    <w:rsid w:val="004B4C2D"/>
    <w:rsid w:val="004D6780"/>
    <w:rsid w:val="004F51A4"/>
    <w:rsid w:val="00536EAC"/>
    <w:rsid w:val="00540C92"/>
    <w:rsid w:val="00552B09"/>
    <w:rsid w:val="00556D4A"/>
    <w:rsid w:val="00571563"/>
    <w:rsid w:val="00581447"/>
    <w:rsid w:val="005C19A4"/>
    <w:rsid w:val="005D2756"/>
    <w:rsid w:val="0061696B"/>
    <w:rsid w:val="00617E8B"/>
    <w:rsid w:val="006805AA"/>
    <w:rsid w:val="006810E2"/>
    <w:rsid w:val="006833A1"/>
    <w:rsid w:val="006B2C91"/>
    <w:rsid w:val="006B4753"/>
    <w:rsid w:val="006C5B3D"/>
    <w:rsid w:val="00724390"/>
    <w:rsid w:val="00747F74"/>
    <w:rsid w:val="00840BE5"/>
    <w:rsid w:val="00851B23"/>
    <w:rsid w:val="00856AAE"/>
    <w:rsid w:val="008A1220"/>
    <w:rsid w:val="008A7EF1"/>
    <w:rsid w:val="008C68E4"/>
    <w:rsid w:val="008F44FD"/>
    <w:rsid w:val="0091490A"/>
    <w:rsid w:val="0094079E"/>
    <w:rsid w:val="00947D14"/>
    <w:rsid w:val="00956096"/>
    <w:rsid w:val="009D0856"/>
    <w:rsid w:val="009D1215"/>
    <w:rsid w:val="009F13AA"/>
    <w:rsid w:val="00A05392"/>
    <w:rsid w:val="00A21019"/>
    <w:rsid w:val="00A30DAC"/>
    <w:rsid w:val="00A332A0"/>
    <w:rsid w:val="00A46C04"/>
    <w:rsid w:val="00A5691F"/>
    <w:rsid w:val="00A91F41"/>
    <w:rsid w:val="00AF3BE3"/>
    <w:rsid w:val="00B203E9"/>
    <w:rsid w:val="00B247DC"/>
    <w:rsid w:val="00B3142B"/>
    <w:rsid w:val="00B81E0C"/>
    <w:rsid w:val="00B945D0"/>
    <w:rsid w:val="00BA2EE3"/>
    <w:rsid w:val="00BB0AE1"/>
    <w:rsid w:val="00BC29D4"/>
    <w:rsid w:val="00BF79B3"/>
    <w:rsid w:val="00C06FDC"/>
    <w:rsid w:val="00C12B93"/>
    <w:rsid w:val="00C20D88"/>
    <w:rsid w:val="00C26CB9"/>
    <w:rsid w:val="00C54EBA"/>
    <w:rsid w:val="00C72D45"/>
    <w:rsid w:val="00C742B2"/>
    <w:rsid w:val="00C74E27"/>
    <w:rsid w:val="00C75A9A"/>
    <w:rsid w:val="00C76A86"/>
    <w:rsid w:val="00C9409A"/>
    <w:rsid w:val="00CA1406"/>
    <w:rsid w:val="00CA2333"/>
    <w:rsid w:val="00CC2EBF"/>
    <w:rsid w:val="00CE2B0B"/>
    <w:rsid w:val="00CF0052"/>
    <w:rsid w:val="00D037B9"/>
    <w:rsid w:val="00D1247A"/>
    <w:rsid w:val="00D51FA4"/>
    <w:rsid w:val="00D9485D"/>
    <w:rsid w:val="00E1370A"/>
    <w:rsid w:val="00E25B33"/>
    <w:rsid w:val="00E3462E"/>
    <w:rsid w:val="00E434F8"/>
    <w:rsid w:val="00E47D9B"/>
    <w:rsid w:val="00E50FAC"/>
    <w:rsid w:val="00E6623E"/>
    <w:rsid w:val="00E66FC1"/>
    <w:rsid w:val="00E75229"/>
    <w:rsid w:val="00E870B3"/>
    <w:rsid w:val="00E93E2C"/>
    <w:rsid w:val="00EC18BA"/>
    <w:rsid w:val="00ED2012"/>
    <w:rsid w:val="00ED342C"/>
    <w:rsid w:val="00F539BC"/>
    <w:rsid w:val="00F6515E"/>
    <w:rsid w:val="00F7035C"/>
    <w:rsid w:val="00F72D66"/>
    <w:rsid w:val="00F95E03"/>
    <w:rsid w:val="00FA7A48"/>
    <w:rsid w:val="00FD0DA2"/>
    <w:rsid w:val="00FD1432"/>
    <w:rsid w:val="00FE54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 w:type="character" w:styleId="CommentReference">
    <w:name w:val="annotation reference"/>
    <w:basedOn w:val="DefaultParagraphFont"/>
    <w:uiPriority w:val="99"/>
    <w:semiHidden/>
    <w:unhideWhenUsed/>
    <w:rsid w:val="003864DA"/>
    <w:rPr>
      <w:sz w:val="16"/>
      <w:szCs w:val="16"/>
    </w:rPr>
  </w:style>
  <w:style w:type="paragraph" w:styleId="CommentText">
    <w:name w:val="annotation text"/>
    <w:basedOn w:val="Normal"/>
    <w:link w:val="CommentTextChar"/>
    <w:uiPriority w:val="99"/>
    <w:unhideWhenUsed/>
    <w:rsid w:val="003864DA"/>
    <w:pPr>
      <w:spacing w:after="0" w:line="240" w:lineRule="auto"/>
    </w:pPr>
    <w:rPr>
      <w:rFonts w:ascii="Arial" w:eastAsia="Arial" w:hAnsi="Arial" w:cs="Arial"/>
      <w:kern w:val="0"/>
      <w:sz w:val="20"/>
      <w:szCs w:val="20"/>
      <w:lang w:val="en"/>
      <w14:ligatures w14:val="none"/>
    </w:rPr>
  </w:style>
  <w:style w:type="character" w:customStyle="1" w:styleId="CommentTextChar">
    <w:name w:val="Comment Text Char"/>
    <w:basedOn w:val="DefaultParagraphFont"/>
    <w:link w:val="CommentText"/>
    <w:uiPriority w:val="99"/>
    <w:rsid w:val="003864DA"/>
    <w:rPr>
      <w:rFonts w:ascii="Arial" w:eastAsia="Arial" w:hAnsi="Arial" w:cs="Arial"/>
      <w:kern w:val="0"/>
      <w:sz w:val="20"/>
      <w:szCs w:val="20"/>
      <w:lang w:val="en"/>
      <w14:ligatures w14:val="none"/>
    </w:rPr>
  </w:style>
  <w:style w:type="character" w:styleId="Mention">
    <w:name w:val="Mention"/>
    <w:basedOn w:val="DefaultParagraphFont"/>
    <w:uiPriority w:val="99"/>
    <w:unhideWhenUsed/>
    <w:rsid w:val="003864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11</cp:revision>
  <dcterms:created xsi:type="dcterms:W3CDTF">2026-03-22T18:53:00Z</dcterms:created>
  <dcterms:modified xsi:type="dcterms:W3CDTF">2026-03-23T20:17:00Z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