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7530B" w14:textId="74B6D971" w:rsidR="001F02EA" w:rsidRPr="00424709" w:rsidRDefault="00424709" w:rsidP="00D4702E">
      <w:pPr>
        <w:spacing w:line="240" w:lineRule="auto"/>
        <w:jc w:val="center"/>
        <w:rPr>
          <w:rFonts w:ascii="Anek Latin SemiCondensed SemiCo" w:hAnsi="Anek Latin SemiCondensed SemiCo" w:cs="Open Sans"/>
          <w:b/>
          <w:bCs/>
          <w:color w:val="892678" w:themeColor="accent1"/>
          <w:sz w:val="52"/>
          <w:szCs w:val="52"/>
          <w:lang w:val="fr-CA"/>
        </w:rPr>
      </w:pPr>
      <w:r w:rsidRPr="00424709">
        <w:rPr>
          <w:rFonts w:ascii="Anek Latin SemiCondensed SemiCo" w:hAnsi="Anek Latin SemiCondensed SemiCo" w:cs="Open Sans"/>
          <w:b/>
          <w:bCs/>
          <w:color w:val="892678" w:themeColor="accent1"/>
          <w:sz w:val="52"/>
          <w:szCs w:val="52"/>
          <w:lang w:val="fr-CA"/>
        </w:rPr>
        <w:t>Investir dans les infrastructures d’hébergement pour mettre fin à la violence fondée sur le genre</w:t>
      </w:r>
    </w:p>
    <w:p w14:paraId="5AA7DD80" w14:textId="427BD75F" w:rsidR="001F02EA" w:rsidRPr="00B634F4" w:rsidRDefault="00B634F4" w:rsidP="001F02EA">
      <w:pPr>
        <w:spacing w:line="240" w:lineRule="auto"/>
        <w:rPr>
          <w:rFonts w:ascii="Open Sans" w:hAnsi="Open Sans" w:cs="Open Sans"/>
          <w:sz w:val="20"/>
          <w:szCs w:val="20"/>
          <w:lang w:val="fr-CA"/>
        </w:rPr>
      </w:pPr>
      <w:r w:rsidRPr="00B634F4">
        <w:rPr>
          <w:rFonts w:ascii="Open Sans" w:hAnsi="Open Sans" w:cs="Open Sans"/>
          <w:sz w:val="20"/>
          <w:szCs w:val="20"/>
          <w:highlight w:val="yellow"/>
          <w:lang w:val="fr-CA"/>
        </w:rPr>
        <w:t>&lt;</w:t>
      </w:r>
      <w:proofErr w:type="gramStart"/>
      <w:r w:rsidRPr="00B634F4">
        <w:rPr>
          <w:rFonts w:ascii="Open Sans" w:hAnsi="Open Sans" w:cs="Open Sans"/>
          <w:sz w:val="20"/>
          <w:szCs w:val="20"/>
          <w:highlight w:val="yellow"/>
          <w:lang w:val="fr-CA"/>
        </w:rPr>
        <w:t>adaptez</w:t>
      </w:r>
      <w:proofErr w:type="gramEnd"/>
      <w:r w:rsidRPr="00B634F4">
        <w:rPr>
          <w:rFonts w:ascii="Open Sans" w:hAnsi="Open Sans" w:cs="Open Sans"/>
          <w:sz w:val="20"/>
          <w:szCs w:val="20"/>
          <w:highlight w:val="yellow"/>
          <w:lang w:val="fr-CA"/>
        </w:rPr>
        <w:t xml:space="preserve"> en fonction des statistiques provinciales ou territoriales&gt;</w:t>
      </w:r>
    </w:p>
    <w:p w14:paraId="342F56B5" w14:textId="77777777" w:rsidR="001A64A5" w:rsidRDefault="001A64A5" w:rsidP="00B34539">
      <w:pPr>
        <w:spacing w:after="120" w:line="240" w:lineRule="auto"/>
        <w:rPr>
          <w:rFonts w:ascii="Open Sans" w:hAnsi="Open Sans" w:cs="Open Sans"/>
          <w:sz w:val="20"/>
          <w:szCs w:val="20"/>
          <w:lang w:val="fr-CA"/>
        </w:rPr>
      </w:pPr>
      <w:r w:rsidRPr="001A64A5">
        <w:rPr>
          <w:rFonts w:ascii="Open Sans" w:hAnsi="Open Sans" w:cs="Open Sans"/>
          <w:sz w:val="20"/>
          <w:szCs w:val="20"/>
          <w:lang w:val="fr-CA"/>
        </w:rPr>
        <w:t>La violence fondée sur le genre atteint actuellement des proportions épidémiques dans tout le pays. En moyenne, une femme ou une jeune fille est tuée tous les deux ou trois jours, le plus souvent par son partenaire ou un ex-partenaire. Les MH pour les femmes, les enfants et les personnes d’une diversité de genres qui fuient la violence travaillent sans relâche pour que les personnes qu’elles accueillent ne viennent pas grossir les statistiques des féminicides, mais elles manquent cruellement de fonds et de moyens.</w:t>
      </w:r>
    </w:p>
    <w:p w14:paraId="06CE5299" w14:textId="694077DB" w:rsidR="006675AF" w:rsidRDefault="001A012A" w:rsidP="00B34539">
      <w:pPr>
        <w:spacing w:after="120" w:line="240" w:lineRule="auto"/>
        <w:rPr>
          <w:rFonts w:ascii="Open Sans" w:hAnsi="Open Sans" w:cs="Open Sans"/>
          <w:b/>
          <w:bCs/>
          <w:color w:val="892678" w:themeColor="accent1"/>
          <w:sz w:val="20"/>
          <w:szCs w:val="20"/>
          <w:lang w:val="fr-CA"/>
        </w:rPr>
      </w:pPr>
      <w:r w:rsidRPr="001A012A">
        <w:rPr>
          <w:rFonts w:ascii="Open Sans" w:hAnsi="Open Sans" w:cs="Open Sans"/>
          <w:b/>
          <w:bCs/>
          <w:color w:val="892678" w:themeColor="accent1"/>
          <w:sz w:val="20"/>
          <w:szCs w:val="20"/>
          <w:lang w:val="fr-CA"/>
        </w:rPr>
        <w:t>Nous demandons des investissements soutenus dans les infrastructures d’hébergement, en particulier dans les communautés isolées, nordiques et autochtones.</w:t>
      </w:r>
    </w:p>
    <w:p w14:paraId="19637FDD" w14:textId="2F32B66E" w:rsidR="00D1129D" w:rsidRPr="00D1129D" w:rsidRDefault="00D1129D" w:rsidP="00D1129D">
      <w:pPr>
        <w:spacing w:after="120" w:line="240" w:lineRule="auto"/>
        <w:rPr>
          <w:rFonts w:ascii="Open Sans" w:eastAsia="Montserrat" w:hAnsi="Open Sans" w:cs="Open Sans"/>
          <w:b/>
          <w:bCs/>
          <w:sz w:val="20"/>
          <w:szCs w:val="20"/>
          <w:lang w:val="fr-CA"/>
        </w:rPr>
      </w:pPr>
      <w:r w:rsidRPr="00D1129D">
        <w:rPr>
          <w:rFonts w:ascii="Open Sans" w:hAnsi="Open Sans"/>
          <w:sz w:val="20"/>
          <w:lang w:val="fr-CA"/>
        </w:rPr>
        <w:t xml:space="preserve">Les maisons d’hébergement sont en crise. D’année en année, la hausse de la demande dépasse l’offre, et </w:t>
      </w:r>
      <w:r w:rsidRPr="00D1129D">
        <w:rPr>
          <w:rFonts w:ascii="Open Sans" w:hAnsi="Open Sans" w:cs="Open Sans"/>
          <w:sz w:val="20"/>
          <w:szCs w:val="20"/>
          <w:lang w:val="fr-CA"/>
        </w:rPr>
        <w:t>l’augmentation</w:t>
      </w:r>
      <w:r w:rsidRPr="00D1129D">
        <w:rPr>
          <w:rFonts w:ascii="Open Sans" w:hAnsi="Open Sans"/>
          <w:sz w:val="20"/>
          <w:lang w:val="fr-CA"/>
        </w:rPr>
        <w:t xml:space="preserve"> des coûts d’exploitation, la baisse des dons et l’instabilité du financement compromettent la bonne marche de leurs activités. Voici l’une des principales conclusions d’un récent rapport d’Hébergement femmes Canada (mars 2026):</w:t>
      </w:r>
      <w:r w:rsidRPr="00D1129D">
        <w:rPr>
          <w:rFonts w:ascii="Open Sans" w:hAnsi="Open Sans"/>
          <w:b/>
          <w:sz w:val="20"/>
          <w:lang w:val="fr-CA"/>
        </w:rPr>
        <w:t xml:space="preserve"> </w:t>
      </w:r>
      <w:r w:rsidRPr="00D1129D">
        <w:rPr>
          <w:rFonts w:ascii="Open Sans" w:hAnsi="Open Sans" w:cs="Open Sans"/>
          <w:b/>
          <w:bCs/>
          <w:color w:val="892678" w:themeColor="accent1"/>
          <w:sz w:val="20"/>
          <w:szCs w:val="20"/>
          <w:lang w:val="fr-CA"/>
        </w:rPr>
        <w:t>Le vieillissement des infrastructures et les inégalités d’accès sont parmi les défis les plus urgents et les plus persistants, en particulier dans les communautés autochtones, nordiques et isolées.</w:t>
      </w:r>
    </w:p>
    <w:p w14:paraId="6E6E7AB9" w14:textId="02BBE476" w:rsidR="00D1129D" w:rsidRPr="00D1129D" w:rsidRDefault="00D1129D" w:rsidP="00D1129D">
      <w:pPr>
        <w:spacing w:after="120" w:line="240" w:lineRule="auto"/>
        <w:rPr>
          <w:rFonts w:ascii="Open Sans" w:eastAsia="Montserrat" w:hAnsi="Open Sans" w:cs="Open Sans"/>
          <w:sz w:val="20"/>
          <w:szCs w:val="20"/>
          <w:lang w:val="fr-CA"/>
        </w:rPr>
      </w:pPr>
      <w:r w:rsidRPr="00D1129D">
        <w:rPr>
          <w:rFonts w:ascii="Open Sans" w:hAnsi="Open Sans"/>
          <w:sz w:val="20"/>
          <w:lang w:val="fr-CA"/>
        </w:rPr>
        <w:t>L’année médiane de construction des MH est 1981. Près de la moitié (45%) nécessitent des réparations majeures et 31% des réparations mineures. Parmi celles qui ont besoin de réparations ou de rénovations, 53% ne disposent pas des fonds nécessaires pour entreprendre ces travaux. Seulement 48% sont généralement accessibles aux survivantes utilisant un fauteuil roulant ou un appareil de mobilité, et l’accessibilité est nettement plus faible pour les personnes sourdes ou malentendantes et pour celles aveugles ou malvoyantes. Les limites en matière d’accessibilité et d’infrastructure ne réduisent pas seulement la capacité; elles peuvent obliger les MH à refuser des survivantes ayant des besoins plus complexes, ou à les héberger dans des espaces qui ne répondent pas entièrement à leurs besoins, ce qui nuit à la sécurité, à la dignité et à l’inclusion.</w:t>
      </w:r>
    </w:p>
    <w:p w14:paraId="1F66FA41" w14:textId="77777777" w:rsidR="00D1129D" w:rsidRPr="00D1129D" w:rsidRDefault="00D1129D" w:rsidP="00D1129D">
      <w:pPr>
        <w:spacing w:after="120" w:line="240" w:lineRule="auto"/>
        <w:rPr>
          <w:rFonts w:ascii="Open Sans" w:hAnsi="Open Sans" w:cs="Open Sans"/>
          <w:b/>
          <w:bCs/>
          <w:color w:val="892678" w:themeColor="accent1"/>
          <w:sz w:val="20"/>
          <w:szCs w:val="20"/>
          <w:lang w:val="fr-CA"/>
        </w:rPr>
      </w:pPr>
      <w:r w:rsidRPr="00D1129D">
        <w:rPr>
          <w:rFonts w:ascii="Open Sans" w:hAnsi="Open Sans" w:cs="Open Sans"/>
          <w:b/>
          <w:bCs/>
          <w:color w:val="892678" w:themeColor="accent1"/>
          <w:sz w:val="20"/>
          <w:szCs w:val="20"/>
          <w:lang w:val="fr-CA"/>
        </w:rPr>
        <w:t>Il est nécessaire de mettre en place une stratégie coordonnée et pluriannuelle en matière d’infrastructures pour les MH:</w:t>
      </w:r>
    </w:p>
    <w:p w14:paraId="4C9B4A95" w14:textId="77777777" w:rsidR="00D1129D" w:rsidRPr="00D1129D" w:rsidRDefault="00D1129D" w:rsidP="00D1129D">
      <w:pPr>
        <w:pStyle w:val="ListParagraph"/>
        <w:numPr>
          <w:ilvl w:val="0"/>
          <w:numId w:val="7"/>
        </w:numPr>
        <w:spacing w:after="0" w:line="240" w:lineRule="auto"/>
        <w:rPr>
          <w:rFonts w:ascii="Open Sans" w:eastAsia="Montserrat" w:hAnsi="Open Sans" w:cs="Open Sans"/>
          <w:sz w:val="20"/>
          <w:szCs w:val="20"/>
          <w:lang w:val="fr-CA"/>
        </w:rPr>
      </w:pPr>
      <w:r w:rsidRPr="00D1129D">
        <w:rPr>
          <w:rFonts w:ascii="Open Sans" w:hAnsi="Open Sans"/>
          <w:sz w:val="20"/>
          <w:lang w:val="fr-CA"/>
        </w:rPr>
        <w:t>Des enveloppes budgétaires fédérales et provinciales/territoriales dédiées à l’infrastructure des MH, avec des critères d’éligibilité clairs pour les organisations dirigées par des Autochtones.</w:t>
      </w:r>
    </w:p>
    <w:p w14:paraId="7C890E17" w14:textId="77777777" w:rsidR="00D1129D" w:rsidRPr="00D1129D" w:rsidRDefault="00D1129D" w:rsidP="00D1129D">
      <w:pPr>
        <w:pStyle w:val="ListParagraph"/>
        <w:numPr>
          <w:ilvl w:val="0"/>
          <w:numId w:val="7"/>
        </w:numPr>
        <w:spacing w:after="0" w:line="240" w:lineRule="auto"/>
        <w:rPr>
          <w:rFonts w:ascii="Open Sans" w:eastAsia="Montserrat" w:hAnsi="Open Sans" w:cs="Open Sans"/>
          <w:sz w:val="20"/>
          <w:szCs w:val="20"/>
          <w:lang w:val="fr-CA"/>
        </w:rPr>
      </w:pPr>
      <w:r w:rsidRPr="00D1129D">
        <w:rPr>
          <w:rFonts w:ascii="Open Sans" w:hAnsi="Open Sans"/>
          <w:sz w:val="20"/>
          <w:lang w:val="fr-CA"/>
        </w:rPr>
        <w:lastRenderedPageBreak/>
        <w:t>Des investissements prioritaires dans les MH isolées, nordiques, rurales et autochtones, où les lacunes en matière d’infrastructures sont les plus importantes, les coûts les plus élevés et l’accès aux métiers et aux matériaux le plus limité.</w:t>
      </w:r>
    </w:p>
    <w:p w14:paraId="30EE9200" w14:textId="77777777" w:rsidR="00D1129D" w:rsidRPr="00D1129D" w:rsidRDefault="00D1129D" w:rsidP="00D1129D">
      <w:pPr>
        <w:pStyle w:val="ListParagraph"/>
        <w:numPr>
          <w:ilvl w:val="0"/>
          <w:numId w:val="7"/>
        </w:numPr>
        <w:spacing w:after="0" w:line="240" w:lineRule="auto"/>
        <w:rPr>
          <w:rFonts w:ascii="Open Sans" w:eastAsia="Montserrat" w:hAnsi="Open Sans" w:cs="Open Sans"/>
          <w:sz w:val="20"/>
          <w:szCs w:val="20"/>
          <w:lang w:val="fr-CA"/>
        </w:rPr>
      </w:pPr>
      <w:r w:rsidRPr="00D1129D">
        <w:rPr>
          <w:rFonts w:ascii="Open Sans" w:hAnsi="Open Sans"/>
          <w:sz w:val="20"/>
          <w:lang w:val="fr-CA"/>
        </w:rPr>
        <w:t>Des flux de financement qui soutiennent à la fois les réparations et rénovations majeures et le développement de MH de conception universelle qui intègrent dès le départ l’accessibilité, une approche tenant compte des traumatismes et les exigences en matière de sécurité.</w:t>
      </w:r>
    </w:p>
    <w:p w14:paraId="4B63D767" w14:textId="77777777" w:rsidR="00D1129D" w:rsidRPr="00D1129D" w:rsidRDefault="00D1129D" w:rsidP="00D1129D">
      <w:pPr>
        <w:pStyle w:val="ListParagraph"/>
        <w:numPr>
          <w:ilvl w:val="0"/>
          <w:numId w:val="7"/>
        </w:numPr>
        <w:spacing w:after="0" w:line="240" w:lineRule="auto"/>
        <w:rPr>
          <w:rFonts w:ascii="Open Sans" w:eastAsia="Montserrat" w:hAnsi="Open Sans" w:cs="Open Sans"/>
          <w:sz w:val="20"/>
          <w:szCs w:val="20"/>
          <w:lang w:val="fr-CA"/>
        </w:rPr>
      </w:pPr>
      <w:r w:rsidRPr="00D1129D">
        <w:rPr>
          <w:rFonts w:ascii="Open Sans" w:hAnsi="Open Sans"/>
          <w:sz w:val="20"/>
          <w:lang w:val="fr-CA"/>
        </w:rPr>
        <w:t>Des engagements politiques explicites pour combler les lacunes juridictionnelles qui font que les MH autochtones et les installations dans les réserves n’ont pas un accès équitable aux fonds d’investissement provinciaux/territoriaux, y compris des accords qui clarifient les rôles du fédéral et des provinces et territoires et garantissent la gouvernance autochtone sur la conception et la mise en œuvre.</w:t>
      </w:r>
    </w:p>
    <w:p w14:paraId="69E27B4A" w14:textId="6B25EC8C" w:rsidR="00D1129D" w:rsidRPr="00D1129D" w:rsidRDefault="00D1129D" w:rsidP="00D1129D">
      <w:pPr>
        <w:pStyle w:val="ListParagraph"/>
        <w:numPr>
          <w:ilvl w:val="0"/>
          <w:numId w:val="7"/>
        </w:numPr>
        <w:spacing w:after="120" w:line="240" w:lineRule="auto"/>
        <w:rPr>
          <w:rFonts w:ascii="Open Sans" w:eastAsia="Montserrat" w:hAnsi="Open Sans" w:cs="Open Sans"/>
          <w:sz w:val="20"/>
          <w:szCs w:val="20"/>
          <w:lang w:val="fr-CA"/>
        </w:rPr>
      </w:pPr>
      <w:r w:rsidRPr="00D1129D">
        <w:rPr>
          <w:rFonts w:ascii="Open Sans" w:hAnsi="Open Sans"/>
          <w:sz w:val="20"/>
          <w:lang w:val="fr-CA"/>
        </w:rPr>
        <w:t>L’accessibilité est traitée comme une infrastructure de base, et non comme un ajout discrétionnaire. Les programmes d’investissement devraient financer explicitement les améliorations de l’accessibilité (ascenseurs, rampes, portes automatiques, alarmes incendie visuelles, salles de bains et chambres accessibles, systèmes de communication accessibles) et les mesures de sécurité essentielles (portes et fenêtres renforcées, entrées sécurisées, alarmes antipanique et éclairage extérieur), et prévoir des fonds suffisants pour que les nouvelles constructions respectent les normes d’accessibilité et de sécurité.</w:t>
      </w:r>
    </w:p>
    <w:p w14:paraId="7C7D5BB0" w14:textId="73EB7968" w:rsidR="004B59FE" w:rsidRPr="00D1129D" w:rsidRDefault="00D1129D" w:rsidP="004B59FE">
      <w:pPr>
        <w:spacing w:after="120" w:line="240" w:lineRule="auto"/>
        <w:rPr>
          <w:rFonts w:ascii="Open Sans" w:eastAsia="Montserrat" w:hAnsi="Open Sans" w:cs="Open Sans"/>
          <w:sz w:val="20"/>
          <w:szCs w:val="20"/>
          <w:lang w:val="fr-CA"/>
        </w:rPr>
      </w:pPr>
      <w:r w:rsidRPr="00D1129D">
        <w:rPr>
          <w:rFonts w:ascii="Open Sans" w:hAnsi="Open Sans"/>
          <w:sz w:val="20"/>
          <w:highlight w:val="yellow"/>
          <w:lang w:val="fr-CA"/>
        </w:rPr>
        <w:t>&lt;pour les organisations individuelles: veuillez indiquer ici si votre bâtiment nécessite des travaux de rénovation ou s’il est accessible&gt;</w:t>
      </w:r>
      <w:r w:rsidR="00E84861" w:rsidRPr="00E93DE1">
        <w:rPr>
          <w:rFonts w:ascii="Open Sans" w:hAnsi="Open Sans" w:cs="Open Sans"/>
          <w:noProof/>
          <w:lang w:val="en-US"/>
        </w:rPr>
        <mc:AlternateContent>
          <mc:Choice Requires="wps">
            <w:drawing>
              <wp:anchor distT="91440" distB="91440" distL="114300" distR="114300" simplePos="0" relativeHeight="251659776" behindDoc="0" locked="0" layoutInCell="1" allowOverlap="1" wp14:anchorId="0916EC02" wp14:editId="2CE72411">
                <wp:simplePos x="0" y="0"/>
                <wp:positionH relativeFrom="margin">
                  <wp:posOffset>-72390</wp:posOffset>
                </wp:positionH>
                <wp:positionV relativeFrom="paragraph">
                  <wp:posOffset>452120</wp:posOffset>
                </wp:positionV>
                <wp:extent cx="5118100" cy="14039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6A131898" w14:textId="3E65B0E5" w:rsidR="0094079E" w:rsidRPr="00FB3EA8" w:rsidRDefault="00FB3EA8"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lang w:val="fr-CA"/>
                              </w:rPr>
                            </w:pPr>
                            <w:r w:rsidRPr="00FB3EA8">
                              <w:rPr>
                                <w:rFonts w:ascii="Open Sans" w:hAnsi="Open Sans" w:cs="Open Sans"/>
                                <w:b/>
                                <w:bCs/>
                                <w:i/>
                                <w:iCs/>
                                <w:color w:val="892678" w:themeColor="accent1"/>
                                <w:sz w:val="20"/>
                                <w:szCs w:val="20"/>
                                <w:lang w:val="fr-CA"/>
                              </w:rPr>
                              <w:t xml:space="preserve">Investir dans les maisons d’hébergement est une décision fiscalement responsable. </w:t>
                            </w:r>
                            <w:r w:rsidRPr="00FB3EA8">
                              <w:rPr>
                                <w:rFonts w:ascii="Open Sans" w:hAnsi="Open Sans" w:cs="Open Sans"/>
                                <w:i/>
                                <w:iCs/>
                                <w:color w:val="892678" w:themeColor="accent1"/>
                                <w:sz w:val="20"/>
                                <w:szCs w:val="20"/>
                                <w:lang w:val="fr-CA"/>
                              </w:rPr>
                              <w:t xml:space="preserve">Les MH préviennent l’itinérance, réduisent la charge sur les services de police et les systèmes de santé, et favorisent le rétablissement à long terme. Chaque dollar dépensé pour les services d’hébergement permet de réaliser des économies dans les systèmes de justice, de santé et d’aide sociale. Le retour sur investissement n’est pas seulement financier, mais aussi social et intergénérationnel.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EC02" id="_x0000_t202" coordsize="21600,21600" o:spt="202" path="m,l,21600r21600,l21600,xe">
                <v:stroke joinstyle="miter"/>
                <v:path gradientshapeok="t" o:connecttype="rect"/>
              </v:shapetype>
              <v:shape id="Text Box 2" o:spid="_x0000_s1026" type="#_x0000_t202" style="position:absolute;margin-left:-5.7pt;margin-top:35.6pt;width:403pt;height:110.55pt;z-index:2516597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" filled="f" stroked="f">
                <v:textbox style="mso-fit-shape-to-text:t">
                  <w:txbxContent>
                    <w:p w14:paraId="6A131898" w14:textId="3E65B0E5" w:rsidR="0094079E" w:rsidRPr="00FB3EA8" w:rsidRDefault="00FB3EA8" w:rsidP="00C74E27">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lang w:val="fr-CA"/>
                        </w:rPr>
                      </w:pPr>
                      <w:r w:rsidRPr="00FB3EA8">
                        <w:rPr>
                          <w:rFonts w:ascii="Open Sans" w:hAnsi="Open Sans" w:cs="Open Sans"/>
                          <w:b/>
                          <w:bCs/>
                          <w:i/>
                          <w:iCs/>
                          <w:color w:val="892678" w:themeColor="accent1"/>
                          <w:sz w:val="20"/>
                          <w:szCs w:val="20"/>
                          <w:lang w:val="fr-CA"/>
                        </w:rPr>
                        <w:t xml:space="preserve">Investir dans les maisons d’hébergement est une décision fiscalement responsable. </w:t>
                      </w:r>
                      <w:r w:rsidRPr="00FB3EA8">
                        <w:rPr>
                          <w:rFonts w:ascii="Open Sans" w:hAnsi="Open Sans" w:cs="Open Sans"/>
                          <w:i/>
                          <w:iCs/>
                          <w:color w:val="892678" w:themeColor="accent1"/>
                          <w:sz w:val="20"/>
                          <w:szCs w:val="20"/>
                          <w:lang w:val="fr-CA"/>
                        </w:rPr>
                        <w:t xml:space="preserve">Les MH préviennent l’itinérance, réduisent la charge sur les services de police et les systèmes de santé, et favorisent le rétablissement à long terme. Chaque dollar dépensé pour les services d’hébergement permet de réaliser des économies dans les systèmes de justice, de santé et d’aide sociale. Le retour sur investissement n’est pas seulement financier, mais aussi social et intergénérationnel. </w:t>
                      </w:r>
                    </w:p>
                  </w:txbxContent>
                </v:textbox>
                <w10:wrap type="topAndBottom" anchorx="margin"/>
              </v:shape>
            </w:pict>
          </mc:Fallback>
        </mc:AlternateContent>
      </w:r>
    </w:p>
    <w:p w14:paraId="6F0E7079" w14:textId="77777777" w:rsidR="00413F46" w:rsidRPr="00413F46" w:rsidRDefault="00413F46" w:rsidP="00413F46">
      <w:pPr>
        <w:spacing w:line="240" w:lineRule="auto"/>
        <w:rPr>
          <w:rFonts w:ascii="Open Sans" w:eastAsia="Montserrat" w:hAnsi="Open Sans" w:cs="Open Sans"/>
          <w:sz w:val="20"/>
          <w:szCs w:val="20"/>
          <w:lang w:val="fr-CA"/>
        </w:rPr>
      </w:pPr>
      <w:r w:rsidRPr="00413F46">
        <w:rPr>
          <w:rFonts w:ascii="Open Sans" w:hAnsi="Open Sans"/>
          <w:sz w:val="20"/>
          <w:lang w:val="fr-CA"/>
        </w:rPr>
        <w:t xml:space="preserve">Des investissements ciblés sont nécessaires pour les MH afin de lutter contre les taux disproportionnés de VFG au sein des communautés – en particulier chez les femmes autochtones, issues de minorités ethniques et en situation de handicap. Ces structures ont besoin d’un financement équitable, durable et adapté à la culture locale, géré par les communautés et soutenu par les pouvoirs publics. Pour veiller à ce que personne ne se voie refuser l’accès à un refuge sécuritaire, un financement continu est nécessaire afin que les MH puissent continuer à offrir un soutien essentiel aux personnes fuyant la violence. </w:t>
      </w:r>
    </w:p>
    <w:p w14:paraId="17FDCDD1" w14:textId="77777777" w:rsidR="00413F46" w:rsidRPr="001E3972" w:rsidRDefault="00413F46" w:rsidP="00413F46">
      <w:pPr>
        <w:widowControl w:val="0"/>
        <w:spacing w:line="240" w:lineRule="auto"/>
        <w:ind w:right="838"/>
        <w:rPr>
          <w:rFonts w:ascii="Open Sans" w:eastAsia="Montserrat" w:hAnsi="Open Sans" w:cs="Open Sans"/>
          <w:sz w:val="20"/>
          <w:szCs w:val="20"/>
          <w:lang w:val="fr-CA"/>
        </w:rPr>
      </w:pPr>
    </w:p>
    <w:p w14:paraId="7ECD8824" w14:textId="77777777" w:rsidR="00413F46" w:rsidRPr="00413F46" w:rsidRDefault="00413F46" w:rsidP="00C24F7A">
      <w:pPr>
        <w:spacing w:after="120" w:line="240" w:lineRule="auto"/>
        <w:rPr>
          <w:rFonts w:ascii="Open Sans" w:eastAsia="Montserrat" w:hAnsi="Open Sans" w:cs="Open Sans"/>
          <w:sz w:val="20"/>
          <w:szCs w:val="20"/>
          <w:lang w:val="fr-CA"/>
        </w:rPr>
      </w:pPr>
      <w:r w:rsidRPr="00985292">
        <w:rPr>
          <w:rFonts w:ascii="Open Sans" w:hAnsi="Open Sans"/>
          <w:sz w:val="20"/>
          <w:highlight w:val="yellow"/>
          <w:lang w:val="fr-CA"/>
        </w:rPr>
        <w:t>&lt;adaptez pour expliquer pourquoi vous vous adressez à cette personne ou à ce service en particulier&gt;</w:t>
      </w:r>
    </w:p>
    <w:p w14:paraId="779A8770" w14:textId="61B17F96" w:rsidR="00985292" w:rsidRPr="00985292" w:rsidRDefault="00985292" w:rsidP="00985292">
      <w:pPr>
        <w:spacing w:line="240" w:lineRule="auto"/>
        <w:rPr>
          <w:rFonts w:ascii="Open Sans" w:eastAsia="Montserrat" w:hAnsi="Open Sans" w:cs="Open Sans"/>
          <w:sz w:val="20"/>
          <w:szCs w:val="20"/>
          <w:lang w:val="fr-CA"/>
        </w:rPr>
      </w:pPr>
      <w:r w:rsidRPr="00985292">
        <w:rPr>
          <w:rFonts w:ascii="Open Sans" w:hAnsi="Open Sans"/>
          <w:sz w:val="20"/>
          <w:lang w:val="fr-CA"/>
        </w:rPr>
        <w:t xml:space="preserve">En tant que ministre du Logement et des Infrastructures, vous et votre ministère êtes particulièrement bien placés pour investir dans les infrastructures d’hébergement grâce aux programmes de subvention fédéraux, en accordant la priorité aux investissements dans les MH situées dans les régions éloignées, nordiques, rurales et autochtones. </w:t>
      </w:r>
    </w:p>
    <w:p w14:paraId="7E4ABA43" w14:textId="77777777" w:rsidR="00985292" w:rsidRPr="00985292" w:rsidRDefault="00985292" w:rsidP="00985292">
      <w:pPr>
        <w:widowControl w:val="0"/>
        <w:spacing w:line="240" w:lineRule="auto"/>
        <w:ind w:right="838"/>
        <w:rPr>
          <w:rFonts w:ascii="Open Sans" w:eastAsia="Montserrat" w:hAnsi="Open Sans" w:cs="Open Sans"/>
          <w:sz w:val="20"/>
          <w:szCs w:val="20"/>
          <w:lang w:val="fr-CA"/>
        </w:rPr>
      </w:pPr>
      <w:r w:rsidRPr="00985292">
        <w:rPr>
          <w:rFonts w:ascii="Open Sans" w:hAnsi="Open Sans"/>
          <w:sz w:val="20"/>
          <w:highlight w:val="yellow"/>
          <w:lang w:val="fr-CA"/>
        </w:rPr>
        <w:t>&lt;</w:t>
      </w:r>
      <w:proofErr w:type="gramStart"/>
      <w:r w:rsidRPr="00985292">
        <w:rPr>
          <w:rFonts w:ascii="Open Sans" w:hAnsi="Open Sans"/>
          <w:sz w:val="20"/>
          <w:highlight w:val="yellow"/>
          <w:lang w:val="fr-CA"/>
        </w:rPr>
        <w:t>adaptez</w:t>
      </w:r>
      <w:proofErr w:type="gramEnd"/>
      <w:r w:rsidRPr="00985292">
        <w:rPr>
          <w:rFonts w:ascii="Open Sans" w:hAnsi="Open Sans"/>
          <w:sz w:val="20"/>
          <w:highlight w:val="yellow"/>
          <w:lang w:val="fr-CA"/>
        </w:rPr>
        <w:t xml:space="preserve"> le texte ci-dessous à votre organisation&gt;</w:t>
      </w:r>
    </w:p>
    <w:p w14:paraId="3DD64672" w14:textId="6076B44F" w:rsidR="00724390" w:rsidRPr="00F751F7" w:rsidRDefault="00896319" w:rsidP="00724390">
      <w:pPr>
        <w:spacing w:line="240" w:lineRule="auto"/>
        <w:rPr>
          <w:rFonts w:ascii="Anek Latin SemiCondensed SemiCo" w:hAnsi="Anek Latin SemiCondensed SemiCo" w:cs="Open Sans"/>
          <w:b/>
          <w:bCs/>
          <w:color w:val="892678" w:themeColor="accent1"/>
          <w:sz w:val="36"/>
          <w:szCs w:val="36"/>
          <w:lang w:val="fr-CA"/>
        </w:rPr>
      </w:pPr>
      <w:r w:rsidRPr="00F751F7">
        <w:rPr>
          <w:rFonts w:ascii="Anek Latin SemiCondensed SemiCo" w:hAnsi="Anek Latin SemiCondensed SemiCo" w:cs="Open Sans"/>
          <w:b/>
          <w:bCs/>
          <w:color w:val="892678" w:themeColor="accent1"/>
          <w:sz w:val="36"/>
          <w:szCs w:val="36"/>
          <w:lang w:val="fr-CA"/>
        </w:rPr>
        <w:t>À propos d’Hébergement femmes Canada</w:t>
      </w:r>
    </w:p>
    <w:p w14:paraId="29395DA5" w14:textId="777414D0" w:rsidR="00C75A9A" w:rsidRPr="00F751F7" w:rsidRDefault="00F751F7" w:rsidP="00CA1406">
      <w:pPr>
        <w:spacing w:line="240" w:lineRule="auto"/>
        <w:rPr>
          <w:rFonts w:ascii="Open Sans" w:eastAsia="Montserrat" w:hAnsi="Open Sans" w:cs="Open Sans"/>
          <w:sz w:val="20"/>
          <w:szCs w:val="20"/>
          <w:lang w:val="fr-CA"/>
        </w:rPr>
      </w:pPr>
      <w:r w:rsidRPr="00F751F7">
        <w:rPr>
          <w:rFonts w:ascii="Open Sans" w:eastAsia="Montserrat" w:hAnsi="Open Sans" w:cs="Open Sans"/>
          <w:sz w:val="20"/>
          <w:szCs w:val="20"/>
          <w:lang w:val="fr-CA"/>
        </w:rPr>
        <w:t xml:space="preserve">Hébergement femmes Canada (HFC) est une organisation nationale qui rassemble et amplifie la voix des associations de MH, des MH individuelles et des fournisseurs de logements de deuxième étape partout au pays. Nous regroupons 16 organisations provinciales et territoriales et soutenons plus de 600 MH qui accueillent des femmes et leurs enfants fuyant la violence. Nous adoptons une approche profondément féministe, intersectionnelle et axée sur la justice, en mettant en relation les organisations, en cocréant des connaissances et en plaidant en faveur d’un changement systémique visant à mettre fin à la violence fondée sur le genre. HFC s’inscrit dans un mouvement. Notre force repose sur les relations que nous entretenons avec nos membres, les survivantes et nos partenaires issus de divers secteurs, qui partagent notre vision d’une société où la sécurité, la dignité et l’équité sont garanties pour toutes les femmes, les personnes trans, bispirituelles et non binaires, ainsi que pour leurs enfants. </w:t>
      </w:r>
    </w:p>
    <w:p w14:paraId="73248C02" w14:textId="3B4F5A09" w:rsidR="000A2492" w:rsidRPr="00C24F7A" w:rsidRDefault="000A2492" w:rsidP="00CA1406">
      <w:pPr>
        <w:spacing w:line="240" w:lineRule="auto"/>
        <w:rPr>
          <w:rFonts w:ascii="Anek Latin SemiCondensed SemiCo" w:hAnsi="Anek Latin SemiCondensed SemiCo" w:cs="Open Sans"/>
          <w:b/>
          <w:bCs/>
          <w:color w:val="892678" w:themeColor="accent1"/>
          <w:sz w:val="36"/>
          <w:szCs w:val="36"/>
          <w:lang w:val="pt-BR"/>
        </w:rPr>
      </w:pPr>
      <w:r w:rsidRPr="00C24F7A">
        <w:rPr>
          <w:rFonts w:ascii="Anek Latin SemiCondensed SemiCo" w:hAnsi="Anek Latin SemiCondensed SemiCo" w:cs="Open Sans"/>
          <w:b/>
          <w:bCs/>
          <w:color w:val="892678" w:themeColor="accent1"/>
          <w:sz w:val="36"/>
          <w:szCs w:val="36"/>
          <w:lang w:val="pt-BR"/>
        </w:rPr>
        <w:t xml:space="preserve">Contact </w:t>
      </w:r>
    </w:p>
    <w:p w14:paraId="1E663B07" w14:textId="562A62E6" w:rsidR="000A2492" w:rsidRPr="00CA2333" w:rsidRDefault="00C26CB9" w:rsidP="005D2756">
      <w:pPr>
        <w:spacing w:after="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p>
    <w:p w14:paraId="63B3B6A5" w14:textId="49801B0C" w:rsidR="00C26CB9" w:rsidRPr="00CA2333" w:rsidRDefault="00C26CB9" w:rsidP="005D2756">
      <w:pPr>
        <w:spacing w:after="0" w:line="240" w:lineRule="auto"/>
        <w:rPr>
          <w:rFonts w:ascii="Open Sans" w:hAnsi="Open Sans" w:cs="Open Sans"/>
          <w:w w:val="105"/>
          <w:sz w:val="20"/>
          <w:szCs w:val="20"/>
          <w:lang w:val="pt-BR"/>
        </w:rPr>
      </w:pPr>
      <w:hyperlink r:id="rId7" w:history="1">
        <w:r w:rsidRPr="00CA2333">
          <w:rPr>
            <w:rStyle w:val="Hyperlink"/>
            <w:rFonts w:ascii="Open Sans" w:hAnsi="Open Sans" w:cs="Open Sans"/>
            <w:w w:val="105"/>
            <w:sz w:val="20"/>
            <w:szCs w:val="20"/>
            <w:lang w:val="pt-BR"/>
          </w:rPr>
          <w:t>adugal@endvaw.ca</w:t>
        </w:r>
      </w:hyperlink>
    </w:p>
    <w:p w14:paraId="6E4294DD" w14:textId="31EAE269" w:rsidR="00C26CB9" w:rsidRPr="004B18E1" w:rsidRDefault="00C26CB9" w:rsidP="005D2756">
      <w:pPr>
        <w:spacing w:after="0" w:line="240" w:lineRule="auto"/>
        <w:rPr>
          <w:rFonts w:ascii="Open Sans" w:hAnsi="Open Sans" w:cs="Open Sans"/>
          <w:w w:val="105"/>
          <w:sz w:val="20"/>
          <w:szCs w:val="20"/>
          <w:lang w:val="pt-BR"/>
        </w:rPr>
      </w:pPr>
      <w:r w:rsidRPr="004B18E1">
        <w:rPr>
          <w:rFonts w:ascii="Open Sans" w:hAnsi="Open Sans" w:cs="Open Sans"/>
          <w:w w:val="105"/>
          <w:sz w:val="20"/>
          <w:szCs w:val="20"/>
          <w:lang w:val="pt-BR"/>
        </w:rPr>
        <w:t>613-680-5119</w:t>
      </w:r>
      <w:r w:rsidR="004B18E1" w:rsidRPr="001E3972">
        <w:rPr>
          <w:rFonts w:ascii="Open Sans" w:hAnsi="Open Sans"/>
          <w:sz w:val="20"/>
        </w:rPr>
        <w:t>, poste</w:t>
      </w:r>
      <w:r w:rsidRPr="004B18E1">
        <w:rPr>
          <w:rFonts w:ascii="Open Sans" w:hAnsi="Open Sans" w:cs="Open Sans"/>
          <w:w w:val="105"/>
          <w:sz w:val="20"/>
          <w:szCs w:val="20"/>
          <w:lang w:val="pt-BR"/>
        </w:rPr>
        <w:t xml:space="preserve"> 115</w:t>
      </w:r>
    </w:p>
    <w:p w14:paraId="400E7052" w14:textId="3ECDF969" w:rsidR="00C26CB9" w:rsidRPr="004B18E1" w:rsidRDefault="00C26CB9" w:rsidP="005D2756">
      <w:pPr>
        <w:spacing w:after="0" w:line="240" w:lineRule="auto"/>
        <w:rPr>
          <w:rFonts w:ascii="Open Sans" w:hAnsi="Open Sans" w:cs="Open Sans"/>
          <w:w w:val="105"/>
          <w:sz w:val="20"/>
          <w:szCs w:val="20"/>
          <w:lang w:val="pt-BR"/>
        </w:rPr>
      </w:pPr>
      <w:hyperlink r:id="rId8" w:history="1">
        <w:r w:rsidRPr="004B18E1">
          <w:rPr>
            <w:rStyle w:val="Hyperlink"/>
            <w:rFonts w:ascii="Open Sans" w:hAnsi="Open Sans" w:cs="Open Sans"/>
            <w:w w:val="105"/>
            <w:sz w:val="20"/>
            <w:szCs w:val="20"/>
            <w:lang w:val="pt-BR"/>
          </w:rPr>
          <w:t>www.endvaw.ca</w:t>
        </w:r>
      </w:hyperlink>
    </w:p>
    <w:p w14:paraId="06CFCD8D" w14:textId="4CA74178" w:rsidR="00C26CB9" w:rsidRPr="004B18E1" w:rsidRDefault="00C26CB9" w:rsidP="005D2756">
      <w:pPr>
        <w:spacing w:after="0" w:line="240" w:lineRule="auto"/>
        <w:rPr>
          <w:rFonts w:ascii="Open Sans" w:hAnsi="Open Sans" w:cs="Open Sans"/>
          <w:b/>
          <w:bCs/>
          <w:color w:val="892678" w:themeColor="accent1"/>
          <w:sz w:val="20"/>
          <w:szCs w:val="20"/>
          <w:lang w:val="pt-BR"/>
        </w:rPr>
      </w:pPr>
      <w:hyperlink r:id="rId9" w:history="1">
        <w:r w:rsidRPr="004B18E1">
          <w:rPr>
            <w:rStyle w:val="Hyperlink"/>
            <w:rFonts w:ascii="Open Sans" w:hAnsi="Open Sans" w:cs="Open Sans"/>
            <w:w w:val="105"/>
            <w:sz w:val="20"/>
            <w:szCs w:val="20"/>
            <w:lang w:val="pt-BR"/>
          </w:rPr>
          <w:t>LinkedIn</w:t>
        </w:r>
      </w:hyperlink>
    </w:p>
    <w:sectPr w:rsidR="00C26CB9" w:rsidRPr="004B18E1"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E48F8" w14:textId="77777777" w:rsidR="00DF061A" w:rsidRDefault="00DF061A" w:rsidP="006B4753">
      <w:pPr>
        <w:spacing w:after="0" w:line="240" w:lineRule="auto"/>
      </w:pPr>
      <w:r>
        <w:separator/>
      </w:r>
    </w:p>
  </w:endnote>
  <w:endnote w:type="continuationSeparator" w:id="0">
    <w:p w14:paraId="3DA4E11C" w14:textId="77777777" w:rsidR="00DF061A" w:rsidRDefault="00DF061A"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5786A8BD-EF2D-4193-A1D4-EBFE5DD5BAF3}"/>
    <w:embedBold r:id="rId2" w:fontKey="{0E38A9C6-932F-449F-983D-4B975256CED0}"/>
    <w:embedItalic r:id="rId3" w:fontKey="{C776953D-A995-46FB-A03E-23A52ED816EC}"/>
    <w:embedBoldItalic r:id="rId4" w:fontKey="{C8B98ABB-5ED5-48AC-9A14-5B3A7CC32737}"/>
  </w:font>
  <w:font w:name="Montserrat">
    <w:panose1 w:val="00000000000000000000"/>
    <w:charset w:val="00"/>
    <w:family w:val="auto"/>
    <w:pitch w:val="variable"/>
    <w:sig w:usb0="A00002FF" w:usb1="4000207B" w:usb2="00000000" w:usb3="00000000" w:csb0="00000197" w:csb1="00000000"/>
    <w:embedRegular r:id="rId5" w:fontKey="{BA0999CA-86F5-465D-8F10-8EF6ED964878}"/>
    <w:embedBold r:id="rId6" w:fontKey="{AE8F74C9-68AA-4E2D-B4AD-76A891B4567D}"/>
  </w:font>
  <w:font w:name="Aptos">
    <w:charset w:val="00"/>
    <w:family w:val="swiss"/>
    <w:pitch w:val="variable"/>
    <w:sig w:usb0="20000287" w:usb1="00000003" w:usb2="00000000" w:usb3="00000000" w:csb0="0000019F" w:csb1="00000000"/>
    <w:embedRegular r:id="rId7" w:fontKey="{E43F99BB-54B8-467B-939A-847FCC0C872C}"/>
    <w:embedBold r:id="rId8" w:fontKey="{A32197E2-27CB-48FF-9FC5-040A87CE7187}"/>
    <w:embedItalic r:id="rId9" w:fontKey="{A55FD8B9-C256-4C51-BEF8-7E5EE015F038}"/>
    <w:embedBoldItalic r:id="rId10" w:fontKey="{022B86D6-D130-4841-B119-46FFCF933E85}"/>
  </w:font>
  <w:font w:name="Aptos Display">
    <w:charset w:val="00"/>
    <w:family w:val="swiss"/>
    <w:pitch w:val="variable"/>
    <w:sig w:usb0="20000287" w:usb1="00000003" w:usb2="00000000" w:usb3="00000000" w:csb0="0000019F" w:csb1="00000000"/>
    <w:embedRegular r:id="rId11" w:fontKey="{BD759A5F-35DC-490F-8C2D-2086F808D47F}"/>
  </w:font>
  <w:font w:name="Open Sans Medium">
    <w:charset w:val="00"/>
    <w:family w:val="auto"/>
    <w:pitch w:val="variable"/>
    <w:sig w:usb0="E00002FF" w:usb1="4000201B" w:usb2="00000028" w:usb3="00000000" w:csb0="0000019F" w:csb1="00000000"/>
    <w:embedRegular r:id="rId12" w:fontKey="{6B4B9B75-B0BD-4842-8EE2-C0EC8F21904A}"/>
  </w:font>
  <w:font w:name="Arial">
    <w:panose1 w:val="020B0604020202020204"/>
    <w:charset w:val="00"/>
    <w:family w:val="swiss"/>
    <w:pitch w:val="variable"/>
    <w:sig w:usb0="E0002EFF" w:usb1="C000785B" w:usb2="00000009" w:usb3="00000000" w:csb0="000001FF" w:csb1="00000000"/>
  </w:font>
  <w:font w:name="Anek Latin SemiCondensed SemiCo">
    <w:charset w:val="4D"/>
    <w:family w:val="auto"/>
    <w:pitch w:val="variable"/>
    <w:sig w:usb0="A000007F" w:usb1="00000043" w:usb2="00000000" w:usb3="00000000" w:csb0="00000193" w:csb1="00000000"/>
    <w:embedBold r:id="rId13" w:fontKey="{E9CA016A-2FA8-4AE7-82A7-4D7AE62A0B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6F405" w14:textId="77777777" w:rsidR="00DF061A" w:rsidRDefault="00DF061A" w:rsidP="006B4753">
      <w:pPr>
        <w:spacing w:after="0" w:line="240" w:lineRule="auto"/>
      </w:pPr>
      <w:r>
        <w:separator/>
      </w:r>
    </w:p>
  </w:footnote>
  <w:footnote w:type="continuationSeparator" w:id="0">
    <w:p w14:paraId="2A015652" w14:textId="77777777" w:rsidR="00DF061A" w:rsidRDefault="00DF061A"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DF061A">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DF061A">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10FA9"/>
    <w:multiLevelType w:val="hybridMultilevel"/>
    <w:tmpl w:val="DEA63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69720678">
    <w:abstractNumId w:val="1"/>
  </w:num>
  <w:num w:numId="2" w16cid:durableId="639068506">
    <w:abstractNumId w:val="3"/>
  </w:num>
  <w:num w:numId="3" w16cid:durableId="750736704">
    <w:abstractNumId w:val="5"/>
  </w:num>
  <w:num w:numId="4" w16cid:durableId="29187663">
    <w:abstractNumId w:val="2"/>
  </w:num>
  <w:num w:numId="5" w16cid:durableId="1783569304">
    <w:abstractNumId w:val="4"/>
  </w:num>
  <w:num w:numId="6" w16cid:durableId="580919206">
    <w:abstractNumId w:val="6"/>
  </w:num>
  <w:num w:numId="7" w16cid:durableId="1224291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A2492"/>
    <w:rsid w:val="000A3F79"/>
    <w:rsid w:val="000D3F83"/>
    <w:rsid w:val="000F14BD"/>
    <w:rsid w:val="000F3F7F"/>
    <w:rsid w:val="001101C1"/>
    <w:rsid w:val="00134B9B"/>
    <w:rsid w:val="00140EC4"/>
    <w:rsid w:val="00142882"/>
    <w:rsid w:val="00172782"/>
    <w:rsid w:val="001A012A"/>
    <w:rsid w:val="001A5AF4"/>
    <w:rsid w:val="001A64A5"/>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5E67"/>
    <w:rsid w:val="0040013B"/>
    <w:rsid w:val="00413F46"/>
    <w:rsid w:val="00424709"/>
    <w:rsid w:val="00452639"/>
    <w:rsid w:val="004547B1"/>
    <w:rsid w:val="00485592"/>
    <w:rsid w:val="004B18E1"/>
    <w:rsid w:val="004B4C2D"/>
    <w:rsid w:val="004B59FE"/>
    <w:rsid w:val="004D6780"/>
    <w:rsid w:val="0051445B"/>
    <w:rsid w:val="00536EAC"/>
    <w:rsid w:val="00552B09"/>
    <w:rsid w:val="00556D4A"/>
    <w:rsid w:val="00571563"/>
    <w:rsid w:val="00581447"/>
    <w:rsid w:val="00587B55"/>
    <w:rsid w:val="005C19A4"/>
    <w:rsid w:val="005D2756"/>
    <w:rsid w:val="006675AF"/>
    <w:rsid w:val="006810E2"/>
    <w:rsid w:val="006833A1"/>
    <w:rsid w:val="006B2C91"/>
    <w:rsid w:val="006B4753"/>
    <w:rsid w:val="006C5B3D"/>
    <w:rsid w:val="00724390"/>
    <w:rsid w:val="00851B23"/>
    <w:rsid w:val="00856AAE"/>
    <w:rsid w:val="00891FD6"/>
    <w:rsid w:val="00896319"/>
    <w:rsid w:val="008C68E4"/>
    <w:rsid w:val="008F44FD"/>
    <w:rsid w:val="0091490A"/>
    <w:rsid w:val="0094079E"/>
    <w:rsid w:val="00947D14"/>
    <w:rsid w:val="00956096"/>
    <w:rsid w:val="00985292"/>
    <w:rsid w:val="009D0856"/>
    <w:rsid w:val="009D1215"/>
    <w:rsid w:val="009F13AA"/>
    <w:rsid w:val="00A05392"/>
    <w:rsid w:val="00A23179"/>
    <w:rsid w:val="00A30DAC"/>
    <w:rsid w:val="00A332A0"/>
    <w:rsid w:val="00A5691F"/>
    <w:rsid w:val="00A91F41"/>
    <w:rsid w:val="00AF3BE3"/>
    <w:rsid w:val="00B203E9"/>
    <w:rsid w:val="00B247DC"/>
    <w:rsid w:val="00B3142B"/>
    <w:rsid w:val="00B34539"/>
    <w:rsid w:val="00B36B4B"/>
    <w:rsid w:val="00B634F4"/>
    <w:rsid w:val="00B81E0C"/>
    <w:rsid w:val="00B9265D"/>
    <w:rsid w:val="00BA2EE3"/>
    <w:rsid w:val="00BB0AE1"/>
    <w:rsid w:val="00BC29D4"/>
    <w:rsid w:val="00BC399D"/>
    <w:rsid w:val="00BD6D02"/>
    <w:rsid w:val="00BD7B0F"/>
    <w:rsid w:val="00BF79B3"/>
    <w:rsid w:val="00C06FDC"/>
    <w:rsid w:val="00C20D88"/>
    <w:rsid w:val="00C24F7A"/>
    <w:rsid w:val="00C26CB9"/>
    <w:rsid w:val="00C54EBA"/>
    <w:rsid w:val="00C72D45"/>
    <w:rsid w:val="00C742B2"/>
    <w:rsid w:val="00C74E27"/>
    <w:rsid w:val="00C75A9A"/>
    <w:rsid w:val="00C76A86"/>
    <w:rsid w:val="00C9409A"/>
    <w:rsid w:val="00CA1406"/>
    <w:rsid w:val="00CA2333"/>
    <w:rsid w:val="00CC2EBF"/>
    <w:rsid w:val="00CE2B0B"/>
    <w:rsid w:val="00D037B9"/>
    <w:rsid w:val="00D1129D"/>
    <w:rsid w:val="00D4702E"/>
    <w:rsid w:val="00D9485D"/>
    <w:rsid w:val="00DA2E99"/>
    <w:rsid w:val="00DF061A"/>
    <w:rsid w:val="00E25B33"/>
    <w:rsid w:val="00E50FAC"/>
    <w:rsid w:val="00E6623E"/>
    <w:rsid w:val="00E66FC1"/>
    <w:rsid w:val="00E75229"/>
    <w:rsid w:val="00E84861"/>
    <w:rsid w:val="00E870B3"/>
    <w:rsid w:val="00E93DE1"/>
    <w:rsid w:val="00EC18BA"/>
    <w:rsid w:val="00ED2012"/>
    <w:rsid w:val="00ED342C"/>
    <w:rsid w:val="00F6515E"/>
    <w:rsid w:val="00F72D66"/>
    <w:rsid w:val="00F751F7"/>
    <w:rsid w:val="00F95E03"/>
    <w:rsid w:val="00FA7A48"/>
    <w:rsid w:val="00FB3EA8"/>
    <w:rsid w:val="00FD0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 w:type="character" w:styleId="CommentReference">
    <w:name w:val="annotation reference"/>
    <w:basedOn w:val="DefaultParagraphFont"/>
    <w:uiPriority w:val="99"/>
    <w:semiHidden/>
    <w:unhideWhenUsed/>
    <w:rsid w:val="00587B55"/>
    <w:rPr>
      <w:sz w:val="16"/>
      <w:szCs w:val="16"/>
    </w:rPr>
  </w:style>
  <w:style w:type="paragraph" w:styleId="CommentText">
    <w:name w:val="annotation text"/>
    <w:basedOn w:val="Normal"/>
    <w:link w:val="CommentTextChar"/>
    <w:uiPriority w:val="99"/>
    <w:unhideWhenUsed/>
    <w:rsid w:val="00587B55"/>
    <w:pPr>
      <w:spacing w:after="0" w:line="240" w:lineRule="auto"/>
    </w:pPr>
    <w:rPr>
      <w:rFonts w:ascii="Arial" w:eastAsia="Arial" w:hAnsi="Arial" w:cs="Arial"/>
      <w:kern w:val="0"/>
      <w:sz w:val="20"/>
      <w:szCs w:val="20"/>
      <w:lang w:val="en"/>
      <w14:ligatures w14:val="none"/>
    </w:rPr>
  </w:style>
  <w:style w:type="character" w:customStyle="1" w:styleId="CommentTextChar">
    <w:name w:val="Comment Text Char"/>
    <w:basedOn w:val="DefaultParagraphFont"/>
    <w:link w:val="CommentText"/>
    <w:uiPriority w:val="99"/>
    <w:rsid w:val="00587B55"/>
    <w:rPr>
      <w:rFonts w:ascii="Arial" w:eastAsia="Arial" w:hAnsi="Arial" w:cs="Arial"/>
      <w:kern w:val="0"/>
      <w:sz w:val="20"/>
      <w:szCs w:val="20"/>
      <w:lang w:val="en"/>
      <w14:ligatures w14:val="none"/>
    </w:rPr>
  </w:style>
  <w:style w:type="character" w:styleId="Mention">
    <w:name w:val="Mention"/>
    <w:basedOn w:val="DefaultParagraphFont"/>
    <w:uiPriority w:val="99"/>
    <w:unhideWhenUsed/>
    <w:rsid w:val="00587B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33</cp:revision>
  <dcterms:created xsi:type="dcterms:W3CDTF">2026-03-22T17:45:00Z</dcterms:created>
  <dcterms:modified xsi:type="dcterms:W3CDTF">2026-03-23T20:28:00Z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